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DDE3" w14:textId="44F4A55F" w:rsidR="00F8164C" w:rsidRPr="00590687" w:rsidRDefault="00455E20" w:rsidP="007E0E2A">
      <w:pPr>
        <w:pStyle w:val="Head4-BSA-AML"/>
        <w:jc w:val="center"/>
      </w:pPr>
      <w:bookmarkStart w:id="0" w:name="_Toc135558568"/>
      <w:r>
        <w:t>Special Measures</w:t>
      </w:r>
      <w:r>
        <w:t xml:space="preserve"> </w:t>
      </w:r>
      <w:r w:rsidR="00F8164C" w:rsidRPr="00590687">
        <w:t>Examination</w:t>
      </w:r>
      <w:r w:rsidRPr="00590687">
        <w:t xml:space="preserve"> and Testing</w:t>
      </w:r>
      <w:r w:rsidR="00F8164C" w:rsidRPr="00590687">
        <w:t xml:space="preserve"> Procedures</w:t>
      </w:r>
    </w:p>
    <w:bookmarkEnd w:id="0"/>
    <w:p w14:paraId="6FED8162" w14:textId="6937551B" w:rsidR="00F8164C" w:rsidRDefault="00F8164C" w:rsidP="00F8164C">
      <w:pPr>
        <w:pStyle w:val="Body-BSA-AML"/>
        <w:rPr>
          <w:i/>
          <w:szCs w:val="24"/>
        </w:rPr>
      </w:pPr>
      <w:r w:rsidRPr="003C50B0">
        <w:rPr>
          <w:rStyle w:val="Head7-BSA-AMLCharChar"/>
        </w:rPr>
        <w:t>Objective</w:t>
      </w:r>
      <w:r w:rsidR="00455E20">
        <w:rPr>
          <w:rStyle w:val="Head7-BSA-AMLCharChar"/>
        </w:rPr>
        <w:t>:</w:t>
      </w:r>
      <w:r w:rsidRPr="003C50B0">
        <w:t xml:space="preserve">  </w:t>
      </w:r>
      <w:r w:rsidR="00455E20" w:rsidRPr="00590687">
        <w:rPr>
          <w:i/>
          <w:szCs w:val="24"/>
        </w:rPr>
        <w:t>Assess the bank’s compliance with the BSA regulatory requirements for special measures issued under section 311 of the USA PATRIOT Act.</w:t>
      </w:r>
    </w:p>
    <w:tbl>
      <w:tblPr>
        <w:tblStyle w:val="TableGrid"/>
        <w:tblW w:w="0" w:type="auto"/>
        <w:tblLook w:val="04A0" w:firstRow="1" w:lastRow="0" w:firstColumn="1" w:lastColumn="0" w:noHBand="0" w:noVBand="1"/>
      </w:tblPr>
      <w:tblGrid>
        <w:gridCol w:w="5395"/>
        <w:gridCol w:w="5395"/>
      </w:tblGrid>
      <w:tr w:rsidR="00C11D53" w14:paraId="618E0662" w14:textId="77777777" w:rsidTr="00C11D53">
        <w:trPr>
          <w:trHeight w:val="314"/>
          <w:tblHeader/>
        </w:trPr>
        <w:tc>
          <w:tcPr>
            <w:tcW w:w="5395" w:type="dxa"/>
            <w:shd w:val="clear" w:color="auto" w:fill="D9D9D9" w:themeFill="background1" w:themeFillShade="D9"/>
          </w:tcPr>
          <w:p w14:paraId="24E17926" w14:textId="0207D55E" w:rsidR="00C11D53" w:rsidRDefault="00C11D53" w:rsidP="00C11D53">
            <w:pPr>
              <w:pStyle w:val="Body-BSA-AML"/>
              <w:tabs>
                <w:tab w:val="clear" w:pos="360"/>
              </w:tabs>
            </w:pPr>
            <w:r w:rsidRPr="00EC4C3D">
              <w:rPr>
                <w:b/>
                <w:sz w:val="28"/>
                <w:szCs w:val="28"/>
              </w:rPr>
              <w:t>Procedure</w:t>
            </w:r>
          </w:p>
        </w:tc>
        <w:tc>
          <w:tcPr>
            <w:tcW w:w="5395" w:type="dxa"/>
            <w:shd w:val="clear" w:color="auto" w:fill="D9D9D9" w:themeFill="background1" w:themeFillShade="D9"/>
          </w:tcPr>
          <w:p w14:paraId="78F17121" w14:textId="32D06CB1" w:rsidR="00C11D53" w:rsidRDefault="00C11D53" w:rsidP="00F8164C">
            <w:pPr>
              <w:pStyle w:val="Body-BSA-AML"/>
              <w:rPr>
                <w:iCs/>
                <w:szCs w:val="24"/>
              </w:rPr>
            </w:pPr>
            <w:r w:rsidRPr="00EC4C3D">
              <w:rPr>
                <w:b/>
                <w:sz w:val="28"/>
                <w:szCs w:val="28"/>
              </w:rPr>
              <w:t>Comments</w:t>
            </w:r>
          </w:p>
        </w:tc>
      </w:tr>
      <w:tr w:rsidR="00590687" w14:paraId="2E54610C" w14:textId="77777777" w:rsidTr="00590687">
        <w:tc>
          <w:tcPr>
            <w:tcW w:w="5395" w:type="dxa"/>
          </w:tcPr>
          <w:p w14:paraId="30ED1A16" w14:textId="72AAFADB" w:rsidR="00590687" w:rsidRDefault="00590687" w:rsidP="00531BB7">
            <w:pPr>
              <w:pStyle w:val="Body-BSA-AML"/>
              <w:numPr>
                <w:ilvl w:val="0"/>
                <w:numId w:val="12"/>
              </w:numPr>
              <w:tabs>
                <w:tab w:val="clear" w:pos="360"/>
              </w:tabs>
              <w:ind w:left="338"/>
              <w:rPr>
                <w:iCs/>
                <w:szCs w:val="24"/>
              </w:rPr>
            </w:pPr>
            <w:r>
              <w:t xml:space="preserve">Determine the extent of the bank’s international banking activities and the foreign jurisdictions in which the bank conducts transactions and activities, with particular emphasis on foreign correspondent banking and payable-through accounts (PTAs).  </w:t>
            </w:r>
          </w:p>
        </w:tc>
        <w:tc>
          <w:tcPr>
            <w:tcW w:w="5395" w:type="dxa"/>
          </w:tcPr>
          <w:p w14:paraId="130E8015" w14:textId="77777777" w:rsidR="00590687" w:rsidRDefault="00590687" w:rsidP="00F8164C">
            <w:pPr>
              <w:pStyle w:val="Body-BSA-AML"/>
              <w:rPr>
                <w:iCs/>
                <w:szCs w:val="24"/>
              </w:rPr>
            </w:pPr>
          </w:p>
        </w:tc>
      </w:tr>
      <w:tr w:rsidR="00590687" w14:paraId="364A46B2" w14:textId="77777777" w:rsidTr="00590687">
        <w:tc>
          <w:tcPr>
            <w:tcW w:w="5395" w:type="dxa"/>
          </w:tcPr>
          <w:p w14:paraId="761BE4C5" w14:textId="0E00FC78" w:rsidR="00590687" w:rsidRDefault="00590687" w:rsidP="00531BB7">
            <w:pPr>
              <w:pStyle w:val="Body-BSA-AML"/>
              <w:numPr>
                <w:ilvl w:val="0"/>
                <w:numId w:val="12"/>
              </w:numPr>
              <w:tabs>
                <w:tab w:val="clear" w:pos="360"/>
              </w:tabs>
              <w:ind w:left="338"/>
              <w:rPr>
                <w:iCs/>
                <w:szCs w:val="24"/>
              </w:rPr>
            </w:pPr>
            <w:r w:rsidRPr="00455E20">
              <w:rPr>
                <w:szCs w:val="24"/>
              </w:rPr>
              <w:t xml:space="preserve">Determine which final special measures issued by FinCEN under section 311 (including special measures implemented by active orders) apply to the bank.  Current information on final special measures can be found on </w:t>
            </w:r>
            <w:hyperlink r:id="rId8" w:history="1">
              <w:r w:rsidRPr="00455E20">
                <w:rPr>
                  <w:rStyle w:val="Hyperlink"/>
                  <w:szCs w:val="24"/>
                </w:rPr>
                <w:t>FinCEN’s website</w:t>
              </w:r>
            </w:hyperlink>
            <w:r w:rsidRPr="00455E20">
              <w:rPr>
                <w:szCs w:val="24"/>
              </w:rPr>
              <w:t>; final measures are subject to change.</w:t>
            </w:r>
          </w:p>
        </w:tc>
        <w:tc>
          <w:tcPr>
            <w:tcW w:w="5395" w:type="dxa"/>
          </w:tcPr>
          <w:p w14:paraId="27244A7C" w14:textId="77777777" w:rsidR="00590687" w:rsidRDefault="00590687" w:rsidP="00F8164C">
            <w:pPr>
              <w:pStyle w:val="Body-BSA-AML"/>
              <w:rPr>
                <w:iCs/>
                <w:szCs w:val="24"/>
              </w:rPr>
            </w:pPr>
          </w:p>
        </w:tc>
      </w:tr>
      <w:tr w:rsidR="00590687" w14:paraId="03608C76" w14:textId="77777777" w:rsidTr="00590687">
        <w:tc>
          <w:tcPr>
            <w:tcW w:w="5395" w:type="dxa"/>
          </w:tcPr>
          <w:p w14:paraId="5A86F7B9" w14:textId="322610F2" w:rsidR="00590687" w:rsidRDefault="00590687" w:rsidP="00531BB7">
            <w:pPr>
              <w:pStyle w:val="Body-BSA-AML"/>
              <w:numPr>
                <w:ilvl w:val="0"/>
                <w:numId w:val="12"/>
              </w:numPr>
              <w:tabs>
                <w:tab w:val="clear" w:pos="360"/>
              </w:tabs>
              <w:ind w:left="338"/>
              <w:rPr>
                <w:iCs/>
                <w:szCs w:val="24"/>
              </w:rPr>
            </w:pPr>
            <w:r w:rsidRPr="00455E20">
              <w:rPr>
                <w:szCs w:val="24"/>
              </w:rPr>
              <w:t xml:space="preserve">Review the bank’s policies, procedures, and processes for responding to specific special measures imposed by FinCEN that are applicable to the bank’s operations.  Evaluate the adequacy of the policies, procedures, and processes for detecting accounts or transactions with jurisdictions or financial institutions subject to final special </w:t>
            </w:r>
            <w:proofErr w:type="gramStart"/>
            <w:r w:rsidRPr="00455E20">
              <w:rPr>
                <w:szCs w:val="24"/>
              </w:rPr>
              <w:t>measures, or</w:t>
            </w:r>
            <w:proofErr w:type="gramEnd"/>
            <w:r w:rsidRPr="00455E20">
              <w:rPr>
                <w:szCs w:val="24"/>
              </w:rPr>
              <w:t xml:space="preserve"> involving classes of transactions or types of accounts subject to final special measures.</w:t>
            </w:r>
          </w:p>
        </w:tc>
        <w:tc>
          <w:tcPr>
            <w:tcW w:w="5395" w:type="dxa"/>
          </w:tcPr>
          <w:p w14:paraId="06DA64FA" w14:textId="77777777" w:rsidR="00590687" w:rsidRDefault="00590687" w:rsidP="00F8164C">
            <w:pPr>
              <w:pStyle w:val="Body-BSA-AML"/>
              <w:rPr>
                <w:iCs/>
                <w:szCs w:val="24"/>
              </w:rPr>
            </w:pPr>
          </w:p>
        </w:tc>
      </w:tr>
      <w:tr w:rsidR="00590687" w14:paraId="61B64968" w14:textId="77777777" w:rsidTr="00590687">
        <w:tc>
          <w:tcPr>
            <w:tcW w:w="5395" w:type="dxa"/>
          </w:tcPr>
          <w:p w14:paraId="29F942D7" w14:textId="3E152909" w:rsidR="00590687" w:rsidRDefault="00590687" w:rsidP="00531BB7">
            <w:pPr>
              <w:pStyle w:val="Body-BSA-AML"/>
              <w:numPr>
                <w:ilvl w:val="0"/>
                <w:numId w:val="12"/>
              </w:numPr>
              <w:tabs>
                <w:tab w:val="clear" w:pos="360"/>
              </w:tabs>
              <w:ind w:left="338"/>
              <w:rPr>
                <w:iCs/>
                <w:szCs w:val="24"/>
              </w:rPr>
            </w:pPr>
            <w:r w:rsidRPr="00455E20">
              <w:rPr>
                <w:szCs w:val="24"/>
              </w:rPr>
              <w:t>Determine whether the bank’s internal controls are designed to assure ongoing compliance with special measures and are commensurate with the bank’s risk profile.</w:t>
            </w:r>
          </w:p>
        </w:tc>
        <w:tc>
          <w:tcPr>
            <w:tcW w:w="5395" w:type="dxa"/>
          </w:tcPr>
          <w:p w14:paraId="5A85FFE1" w14:textId="77777777" w:rsidR="00590687" w:rsidRDefault="00590687" w:rsidP="00F8164C">
            <w:pPr>
              <w:pStyle w:val="Body-BSA-AML"/>
              <w:rPr>
                <w:iCs/>
                <w:szCs w:val="24"/>
              </w:rPr>
            </w:pPr>
          </w:p>
        </w:tc>
      </w:tr>
      <w:tr w:rsidR="00590687" w14:paraId="70C175F0" w14:textId="77777777" w:rsidTr="00590687">
        <w:tc>
          <w:tcPr>
            <w:tcW w:w="5395" w:type="dxa"/>
          </w:tcPr>
          <w:p w14:paraId="514949D1" w14:textId="33F9B94A" w:rsidR="00590687" w:rsidRPr="00455E20" w:rsidRDefault="00590687" w:rsidP="00531BB7">
            <w:pPr>
              <w:pStyle w:val="Body-BSA-AML"/>
              <w:numPr>
                <w:ilvl w:val="0"/>
                <w:numId w:val="12"/>
              </w:numPr>
              <w:tabs>
                <w:tab w:val="clear" w:pos="360"/>
              </w:tabs>
              <w:ind w:left="338"/>
              <w:rPr>
                <w:szCs w:val="24"/>
              </w:rPr>
            </w:pPr>
            <w:r w:rsidRPr="00455E20">
              <w:rPr>
                <w:szCs w:val="24"/>
              </w:rPr>
              <w:t>Through discussions with management and review of the bank’s documentation, select a sample of accounts or transactions where the bank has taken action in response to final special measures.</w:t>
            </w:r>
          </w:p>
        </w:tc>
        <w:tc>
          <w:tcPr>
            <w:tcW w:w="5395" w:type="dxa"/>
          </w:tcPr>
          <w:p w14:paraId="03A1C9A5" w14:textId="77777777" w:rsidR="00590687" w:rsidRDefault="00590687" w:rsidP="00F8164C">
            <w:pPr>
              <w:pStyle w:val="Body-BSA-AML"/>
              <w:rPr>
                <w:iCs/>
                <w:szCs w:val="24"/>
              </w:rPr>
            </w:pPr>
          </w:p>
        </w:tc>
      </w:tr>
      <w:tr w:rsidR="00590687" w14:paraId="06C5F231" w14:textId="77777777" w:rsidTr="00590687">
        <w:tc>
          <w:tcPr>
            <w:tcW w:w="5395" w:type="dxa"/>
          </w:tcPr>
          <w:p w14:paraId="34E4977A" w14:textId="2D803DAD" w:rsidR="00590687" w:rsidRPr="00455E20" w:rsidRDefault="00590687" w:rsidP="00531BB7">
            <w:pPr>
              <w:pStyle w:val="Body-BSA-AML"/>
              <w:numPr>
                <w:ilvl w:val="0"/>
                <w:numId w:val="12"/>
              </w:numPr>
              <w:tabs>
                <w:tab w:val="clear" w:pos="360"/>
              </w:tabs>
              <w:ind w:left="338"/>
              <w:rPr>
                <w:szCs w:val="24"/>
              </w:rPr>
            </w:pPr>
            <w:r w:rsidRPr="00455E20">
              <w:rPr>
                <w:szCs w:val="24"/>
              </w:rPr>
              <w:t>For special measures one through four, determine whether the bank obtained, recorded, or reported the information required by each particular special measure.</w:t>
            </w:r>
          </w:p>
        </w:tc>
        <w:tc>
          <w:tcPr>
            <w:tcW w:w="5395" w:type="dxa"/>
          </w:tcPr>
          <w:p w14:paraId="4093F25F" w14:textId="77777777" w:rsidR="00590687" w:rsidRDefault="00590687" w:rsidP="00F8164C">
            <w:pPr>
              <w:pStyle w:val="Body-BSA-AML"/>
              <w:rPr>
                <w:iCs/>
                <w:szCs w:val="24"/>
              </w:rPr>
            </w:pPr>
          </w:p>
        </w:tc>
      </w:tr>
      <w:tr w:rsidR="00590687" w14:paraId="2E9BDAE1" w14:textId="77777777" w:rsidTr="00531BB7">
        <w:trPr>
          <w:cantSplit/>
        </w:trPr>
        <w:tc>
          <w:tcPr>
            <w:tcW w:w="5395" w:type="dxa"/>
          </w:tcPr>
          <w:p w14:paraId="3B285709" w14:textId="2CDC348C" w:rsidR="00590687" w:rsidRPr="00455E20" w:rsidRDefault="00590687" w:rsidP="00531BB7">
            <w:pPr>
              <w:pStyle w:val="Body-BSA-AML"/>
              <w:numPr>
                <w:ilvl w:val="0"/>
                <w:numId w:val="12"/>
              </w:numPr>
              <w:tabs>
                <w:tab w:val="clear" w:pos="360"/>
              </w:tabs>
              <w:ind w:left="338"/>
              <w:rPr>
                <w:szCs w:val="24"/>
              </w:rPr>
            </w:pPr>
            <w:r w:rsidRPr="00455E20">
              <w:rPr>
                <w:szCs w:val="24"/>
              </w:rPr>
              <w:t>For special measure five, determine whether the bank complied with the prohibitions, conditions, or any other actions required by the special measure.</w:t>
            </w:r>
          </w:p>
        </w:tc>
        <w:tc>
          <w:tcPr>
            <w:tcW w:w="5395" w:type="dxa"/>
          </w:tcPr>
          <w:p w14:paraId="159FCD83" w14:textId="77777777" w:rsidR="00590687" w:rsidRDefault="00590687" w:rsidP="00F8164C">
            <w:pPr>
              <w:pStyle w:val="Body-BSA-AML"/>
              <w:rPr>
                <w:iCs/>
                <w:szCs w:val="24"/>
              </w:rPr>
            </w:pPr>
          </w:p>
        </w:tc>
      </w:tr>
      <w:tr w:rsidR="00590687" w14:paraId="40A0DB8B" w14:textId="77777777" w:rsidTr="00590687">
        <w:tc>
          <w:tcPr>
            <w:tcW w:w="5395" w:type="dxa"/>
          </w:tcPr>
          <w:p w14:paraId="253BE010" w14:textId="051F32C8" w:rsidR="00590687" w:rsidRPr="00455E20" w:rsidRDefault="00590687" w:rsidP="00531BB7">
            <w:pPr>
              <w:pStyle w:val="Body-BSA-AML"/>
              <w:numPr>
                <w:ilvl w:val="0"/>
                <w:numId w:val="12"/>
              </w:numPr>
              <w:tabs>
                <w:tab w:val="clear" w:pos="360"/>
              </w:tabs>
              <w:ind w:left="338"/>
              <w:rPr>
                <w:szCs w:val="24"/>
              </w:rPr>
            </w:pPr>
            <w:r w:rsidRPr="00455E20">
              <w:rPr>
                <w:szCs w:val="24"/>
              </w:rPr>
              <w:t>As necessary, review the bank’s information technology sources, systems, and processes used to monitor accounts or transactions with jurisdictions or financial institutions subject to final special measures, or involving classes of transactions or types of accounts subject to final special measures (including active orders).</w:t>
            </w:r>
          </w:p>
        </w:tc>
        <w:tc>
          <w:tcPr>
            <w:tcW w:w="5395" w:type="dxa"/>
          </w:tcPr>
          <w:p w14:paraId="050F8D00" w14:textId="77777777" w:rsidR="00590687" w:rsidRDefault="00590687" w:rsidP="00F8164C">
            <w:pPr>
              <w:pStyle w:val="Body-BSA-AML"/>
              <w:rPr>
                <w:iCs/>
                <w:szCs w:val="24"/>
              </w:rPr>
            </w:pPr>
          </w:p>
        </w:tc>
      </w:tr>
      <w:tr w:rsidR="00590687" w14:paraId="5ECADD7F" w14:textId="77777777" w:rsidTr="00590687">
        <w:tc>
          <w:tcPr>
            <w:tcW w:w="5395" w:type="dxa"/>
          </w:tcPr>
          <w:p w14:paraId="6D473069" w14:textId="73570C5F" w:rsidR="00590687" w:rsidRPr="00455E20" w:rsidRDefault="00531BB7" w:rsidP="00531BB7">
            <w:pPr>
              <w:pStyle w:val="Body-BSA-AML"/>
              <w:numPr>
                <w:ilvl w:val="0"/>
                <w:numId w:val="12"/>
              </w:numPr>
              <w:tabs>
                <w:tab w:val="clear" w:pos="360"/>
              </w:tabs>
              <w:ind w:left="338"/>
              <w:rPr>
                <w:szCs w:val="24"/>
              </w:rPr>
            </w:pPr>
            <w:r w:rsidRPr="00455E20">
              <w:rPr>
                <w:szCs w:val="24"/>
              </w:rPr>
              <w:t>Based on examination and testing procedures completed, form a conclusion about the adequacy of policies, procedures, and processes the bank has developed to meet the BSA statutory and regulatory requirements associated with special measures.</w:t>
            </w:r>
          </w:p>
        </w:tc>
        <w:tc>
          <w:tcPr>
            <w:tcW w:w="5395" w:type="dxa"/>
          </w:tcPr>
          <w:p w14:paraId="5F190B14" w14:textId="77777777" w:rsidR="00590687" w:rsidRDefault="00590687" w:rsidP="00F8164C">
            <w:pPr>
              <w:pStyle w:val="Body-BSA-AML"/>
              <w:rPr>
                <w:iCs/>
                <w:szCs w:val="24"/>
              </w:rPr>
            </w:pPr>
          </w:p>
        </w:tc>
      </w:tr>
    </w:tbl>
    <w:p w14:paraId="0AC8DF14" w14:textId="77777777" w:rsidR="00590687" w:rsidRPr="00590687" w:rsidRDefault="00590687" w:rsidP="00F8164C">
      <w:pPr>
        <w:pStyle w:val="Body-BSA-AML"/>
        <w:rPr>
          <w:iCs/>
          <w:szCs w:val="24"/>
        </w:rPr>
      </w:pPr>
    </w:p>
    <w:sectPr w:rsidR="00590687" w:rsidRPr="00590687" w:rsidSect="00C73169">
      <w:headerReference w:type="even" r:id="rId9"/>
      <w:headerReference w:type="default" r:id="rId10"/>
      <w:footerReference w:type="even" r:id="rId11"/>
      <w:footerReference w:type="defaul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211287" w:rsidRDefault="002112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211287" w:rsidRDefault="002112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1C9F" w14:textId="77777777" w:rsidR="00644539" w:rsidRDefault="00644539">
    <w:pPr>
      <w:pStyle w:val="Header"/>
    </w:pPr>
  </w:p>
  <w:p w14:paraId="480ABDD4" w14:textId="77777777" w:rsidR="00211287" w:rsidRDefault="002112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211287" w:rsidRDefault="002112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F5614"/>
    <w:multiLevelType w:val="hybridMultilevel"/>
    <w:tmpl w:val="EE34E546"/>
    <w:lvl w:ilvl="0" w:tplc="5D1C84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8D704B"/>
    <w:multiLevelType w:val="hybridMultilevel"/>
    <w:tmpl w:val="6BC60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7"/>
  </w:num>
  <w:num w:numId="5">
    <w:abstractNumId w:val="1"/>
  </w:num>
  <w:num w:numId="6">
    <w:abstractNumId w:val="11"/>
  </w:num>
  <w:num w:numId="7">
    <w:abstractNumId w:val="5"/>
  </w:num>
  <w:num w:numId="8">
    <w:abstractNumId w:val="10"/>
  </w:num>
  <w:num w:numId="9">
    <w:abstractNumId w:val="8"/>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B6182"/>
    <w:rsid w:val="00153D87"/>
    <w:rsid w:val="001C597F"/>
    <w:rsid w:val="00211287"/>
    <w:rsid w:val="00214C57"/>
    <w:rsid w:val="002456DC"/>
    <w:rsid w:val="002C7896"/>
    <w:rsid w:val="00381955"/>
    <w:rsid w:val="00455E20"/>
    <w:rsid w:val="0049515A"/>
    <w:rsid w:val="004B1A48"/>
    <w:rsid w:val="00531BB7"/>
    <w:rsid w:val="00545344"/>
    <w:rsid w:val="00551E98"/>
    <w:rsid w:val="00590687"/>
    <w:rsid w:val="005A483D"/>
    <w:rsid w:val="005F5D49"/>
    <w:rsid w:val="00644539"/>
    <w:rsid w:val="0066634D"/>
    <w:rsid w:val="00666FEA"/>
    <w:rsid w:val="00693331"/>
    <w:rsid w:val="006938EE"/>
    <w:rsid w:val="00711436"/>
    <w:rsid w:val="0074091F"/>
    <w:rsid w:val="007C1396"/>
    <w:rsid w:val="007E0E2A"/>
    <w:rsid w:val="008218DF"/>
    <w:rsid w:val="0082386F"/>
    <w:rsid w:val="00827065"/>
    <w:rsid w:val="008C1A62"/>
    <w:rsid w:val="008D1B70"/>
    <w:rsid w:val="0092155F"/>
    <w:rsid w:val="00942A1C"/>
    <w:rsid w:val="009A7808"/>
    <w:rsid w:val="00A13081"/>
    <w:rsid w:val="00A33330"/>
    <w:rsid w:val="00A37C93"/>
    <w:rsid w:val="00A9534A"/>
    <w:rsid w:val="00AB7A7D"/>
    <w:rsid w:val="00AC3068"/>
    <w:rsid w:val="00B0373F"/>
    <w:rsid w:val="00B57732"/>
    <w:rsid w:val="00BD16CB"/>
    <w:rsid w:val="00C11D53"/>
    <w:rsid w:val="00C40DD6"/>
    <w:rsid w:val="00C73169"/>
    <w:rsid w:val="00C7598C"/>
    <w:rsid w:val="00CC10D0"/>
    <w:rsid w:val="00CE1F59"/>
    <w:rsid w:val="00CF0853"/>
    <w:rsid w:val="00CF7AF0"/>
    <w:rsid w:val="00D8007E"/>
    <w:rsid w:val="00D95CB7"/>
    <w:rsid w:val="00DA7E7B"/>
    <w:rsid w:val="00EC37F2"/>
    <w:rsid w:val="00F338D1"/>
    <w:rsid w:val="00F410AB"/>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 w:type="table" w:styleId="TableGrid">
    <w:name w:val="Table Grid"/>
    <w:basedOn w:val="TableNormal"/>
    <w:uiPriority w:val="39"/>
    <w:rsid w:val="0059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70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resources/statutes-and-regulations/311-special-meas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A7D5-63FB-0A47-8199-A6762905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FRB2</cp:lastModifiedBy>
  <cp:revision>4</cp:revision>
  <dcterms:created xsi:type="dcterms:W3CDTF">2018-06-06T15:07:00Z</dcterms:created>
  <dcterms:modified xsi:type="dcterms:W3CDTF">2021-06-03T17:18:00Z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81e9a076-29b9-40dd-8518-bb81a3aaf0af</vt:lpwstr>
  </property>
</Properties>
</file>