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97EC" w14:textId="77777777" w:rsidR="003E02C1" w:rsidRPr="0086047B" w:rsidRDefault="003E02C1" w:rsidP="003E02C1">
      <w:pPr>
        <w:pStyle w:val="Head3-BSA-AML"/>
        <w:rPr>
          <w:sz w:val="36"/>
          <w:szCs w:val="36"/>
        </w:rPr>
      </w:pPr>
      <w:bookmarkStart w:id="0" w:name="_Toc135558633"/>
      <w:r w:rsidRPr="0086047B">
        <w:rPr>
          <w:sz w:val="36"/>
          <w:szCs w:val="36"/>
        </w:rPr>
        <w:t>Examination Procedures</w:t>
      </w:r>
    </w:p>
    <w:p w14:paraId="2E313125" w14:textId="77777777" w:rsidR="003E02C1" w:rsidRDefault="003E02C1" w:rsidP="003E02C1">
      <w:pPr>
        <w:pStyle w:val="Head4-BSA-AML"/>
        <w:jc w:val="center"/>
      </w:pPr>
      <w:r>
        <w:t>Professional Service Providers</w:t>
      </w:r>
      <w:bookmarkEnd w:id="0"/>
    </w:p>
    <w:p w14:paraId="30372E4F" w14:textId="77777777" w:rsidR="003E02C1" w:rsidRDefault="003E02C1" w:rsidP="003E02C1">
      <w:pPr>
        <w:pStyle w:val="Body-BSA-AML"/>
        <w:rPr>
          <w:i/>
        </w:rPr>
      </w:pPr>
      <w:r>
        <w:rPr>
          <w:rStyle w:val="Head7-BSA-AMLCharChar"/>
        </w:rPr>
        <w:t>Objective.</w:t>
      </w:r>
      <w:r>
        <w:t xml:space="preserve">  </w:t>
      </w:r>
      <w:r w:rsidRPr="00140297">
        <w:rPr>
          <w:i/>
        </w:rPr>
        <w:t>Assess the adequacy of the bank</w:t>
      </w:r>
      <w:r>
        <w:rPr>
          <w:i/>
        </w:rPr>
        <w:t>’</w:t>
      </w:r>
      <w:r w:rsidRPr="00140297">
        <w:rPr>
          <w:i/>
        </w:rPr>
        <w:t>s systems to manage the risks associated with professional service provider relationships, and management</w:t>
      </w:r>
      <w:r>
        <w:rPr>
          <w:i/>
        </w:rPr>
        <w:t>’</w:t>
      </w:r>
      <w:r w:rsidRPr="00140297">
        <w:rPr>
          <w:i/>
        </w:rPr>
        <w:t>s ability to implement effective due diligence, monitoring, and reporting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5384"/>
      </w:tblGrid>
      <w:tr w:rsidR="003E02C1" w:rsidRPr="00EC4C3D" w14:paraId="0914DC43" w14:textId="77777777" w:rsidTr="00FD77C2">
        <w:trPr>
          <w:tblHeader/>
        </w:trPr>
        <w:tc>
          <w:tcPr>
            <w:tcW w:w="5508" w:type="dxa"/>
            <w:tcBorders>
              <w:bottom w:val="single" w:sz="4" w:space="0" w:color="auto"/>
            </w:tcBorders>
            <w:shd w:val="clear" w:color="auto" w:fill="E0E0E0"/>
          </w:tcPr>
          <w:p w14:paraId="4FF86CAF" w14:textId="77777777" w:rsidR="003E02C1" w:rsidRPr="00EC4C3D" w:rsidRDefault="003E02C1"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086E4334" w14:textId="77777777" w:rsidR="003E02C1" w:rsidRPr="00EC4C3D" w:rsidRDefault="003E02C1" w:rsidP="00FD77C2">
            <w:pPr>
              <w:rPr>
                <w:b/>
                <w:sz w:val="28"/>
                <w:szCs w:val="28"/>
              </w:rPr>
            </w:pPr>
            <w:r w:rsidRPr="00EC4C3D">
              <w:rPr>
                <w:b/>
                <w:sz w:val="28"/>
                <w:szCs w:val="28"/>
              </w:rPr>
              <w:t>Comments</w:t>
            </w:r>
          </w:p>
        </w:tc>
      </w:tr>
      <w:tr w:rsidR="003E02C1" w:rsidRPr="00EC4C3D" w14:paraId="3E2DA918" w14:textId="77777777" w:rsidTr="00FD77C2">
        <w:tc>
          <w:tcPr>
            <w:tcW w:w="5508" w:type="dxa"/>
            <w:shd w:val="clear" w:color="auto" w:fill="auto"/>
          </w:tcPr>
          <w:p w14:paraId="0052BCED" w14:textId="77777777" w:rsidR="003E02C1" w:rsidRPr="00EC4C3D" w:rsidRDefault="003E02C1" w:rsidP="003E02C1">
            <w:pPr>
              <w:numPr>
                <w:ilvl w:val="0"/>
                <w:numId w:val="43"/>
              </w:numPr>
              <w:rPr>
                <w:sz w:val="22"/>
                <w:szCs w:val="22"/>
              </w:rPr>
            </w:pPr>
            <w:r w:rsidRPr="00EC4C3D">
              <w:rPr>
                <w:sz w:val="22"/>
                <w:szCs w:val="22"/>
              </w:rPr>
              <w:t>Review the policies, procedures, and processes related to professional service provider relationships.  Evaluate the adequacy of the policies, procedures, and processes given the bank’s relationships with professional service providers and the risks these relationships represent.  Assess whether the controls are adequate to reasonably protect the bank from money laundering and terrorist financing.</w:t>
            </w:r>
          </w:p>
        </w:tc>
        <w:tc>
          <w:tcPr>
            <w:tcW w:w="5508" w:type="dxa"/>
            <w:shd w:val="clear" w:color="auto" w:fill="auto"/>
          </w:tcPr>
          <w:p w14:paraId="012687A0" w14:textId="77777777" w:rsidR="003E02C1" w:rsidRPr="00EC4C3D" w:rsidRDefault="003E02C1" w:rsidP="00FD77C2">
            <w:pPr>
              <w:rPr>
                <w:sz w:val="22"/>
                <w:szCs w:val="22"/>
              </w:rPr>
            </w:pPr>
          </w:p>
        </w:tc>
      </w:tr>
      <w:tr w:rsidR="003E02C1" w:rsidRPr="00EC4C3D" w14:paraId="1B5E9219" w14:textId="77777777" w:rsidTr="00FD77C2">
        <w:tc>
          <w:tcPr>
            <w:tcW w:w="5508" w:type="dxa"/>
            <w:shd w:val="clear" w:color="auto" w:fill="auto"/>
          </w:tcPr>
          <w:p w14:paraId="78BCC6C2" w14:textId="77777777" w:rsidR="003E02C1" w:rsidRPr="00EC4C3D" w:rsidRDefault="003E02C1" w:rsidP="003E02C1">
            <w:pPr>
              <w:numPr>
                <w:ilvl w:val="0"/>
                <w:numId w:val="43"/>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professional se</w:t>
            </w:r>
            <w:r>
              <w:rPr>
                <w:sz w:val="22"/>
                <w:szCs w:val="22"/>
              </w:rPr>
              <w:t xml:space="preserve">rvice provider relationships.  </w:t>
            </w:r>
            <w:r w:rsidRPr="00EC4C3D">
              <w:rPr>
                <w:sz w:val="22"/>
                <w:szCs w:val="22"/>
              </w:rPr>
              <w:t xml:space="preserve">MIS reports should include information about an entire relationship.  For example, an interest on lawyers’ trust account (IOLTA) may be in the name of the law firm instead of an individual.  However, the bank’s relationship report should include the law firm’s account </w:t>
            </w:r>
            <w:r w:rsidRPr="00EC4C3D">
              <w:rPr>
                <w:i/>
                <w:sz w:val="22"/>
                <w:szCs w:val="22"/>
              </w:rPr>
              <w:t>and</w:t>
            </w:r>
            <w:r w:rsidRPr="00EC4C3D">
              <w:rPr>
                <w:sz w:val="22"/>
                <w:szCs w:val="22"/>
              </w:rPr>
              <w:t xml:space="preserve"> the names and accounts of lawyers associated with the IOLTA.</w:t>
            </w:r>
          </w:p>
        </w:tc>
        <w:tc>
          <w:tcPr>
            <w:tcW w:w="5508" w:type="dxa"/>
            <w:shd w:val="clear" w:color="auto" w:fill="auto"/>
          </w:tcPr>
          <w:p w14:paraId="7D21F91C" w14:textId="77777777" w:rsidR="003E02C1" w:rsidRPr="00EC4C3D" w:rsidRDefault="003E02C1" w:rsidP="00FD77C2">
            <w:pPr>
              <w:rPr>
                <w:sz w:val="22"/>
                <w:szCs w:val="22"/>
              </w:rPr>
            </w:pPr>
          </w:p>
        </w:tc>
      </w:tr>
      <w:tr w:rsidR="003E02C1" w:rsidRPr="00EC4C3D" w14:paraId="0B86F0C9" w14:textId="77777777" w:rsidTr="00FD77C2">
        <w:tc>
          <w:tcPr>
            <w:tcW w:w="5508" w:type="dxa"/>
            <w:shd w:val="clear" w:color="auto" w:fill="auto"/>
          </w:tcPr>
          <w:p w14:paraId="1617845A" w14:textId="77777777" w:rsidR="003E02C1" w:rsidRPr="00EC4C3D" w:rsidRDefault="003E02C1" w:rsidP="003E02C1">
            <w:pPr>
              <w:numPr>
                <w:ilvl w:val="0"/>
                <w:numId w:val="43"/>
              </w:numPr>
              <w:rPr>
                <w:sz w:val="22"/>
                <w:szCs w:val="22"/>
              </w:rPr>
            </w:pPr>
            <w:r w:rsidRPr="00EC4C3D">
              <w:rPr>
                <w:sz w:val="22"/>
                <w:szCs w:val="22"/>
              </w:rPr>
              <w:t>Determine whether the bank’s system for monitoring professional service provider relationship’s suspicious activities, and for reporting of suspicious activities, is adequate given the bank’s size, complexity, location, and types of customer relationships.</w:t>
            </w:r>
          </w:p>
        </w:tc>
        <w:tc>
          <w:tcPr>
            <w:tcW w:w="5508" w:type="dxa"/>
            <w:shd w:val="clear" w:color="auto" w:fill="auto"/>
          </w:tcPr>
          <w:p w14:paraId="1F3D3E2C" w14:textId="77777777" w:rsidR="003E02C1" w:rsidRPr="00EC4C3D" w:rsidRDefault="003E02C1" w:rsidP="00FD77C2">
            <w:pPr>
              <w:rPr>
                <w:sz w:val="22"/>
                <w:szCs w:val="22"/>
              </w:rPr>
            </w:pPr>
          </w:p>
        </w:tc>
      </w:tr>
      <w:tr w:rsidR="003E02C1" w:rsidRPr="00EC4C3D" w14:paraId="725077A9" w14:textId="77777777" w:rsidTr="00FD77C2">
        <w:tc>
          <w:tcPr>
            <w:tcW w:w="5508" w:type="dxa"/>
            <w:shd w:val="clear" w:color="auto" w:fill="auto"/>
          </w:tcPr>
          <w:p w14:paraId="52CFF77B" w14:textId="77777777" w:rsidR="003E02C1" w:rsidRPr="00EC4C3D" w:rsidRDefault="003E02C1" w:rsidP="003E02C1">
            <w:pPr>
              <w:numPr>
                <w:ilvl w:val="0"/>
                <w:numId w:val="43"/>
              </w:numPr>
              <w:rPr>
                <w:sz w:val="22"/>
                <w:szCs w:val="22"/>
              </w:rPr>
            </w:pPr>
            <w:r w:rsidRPr="00EC4C3D">
              <w:rPr>
                <w:sz w:val="22"/>
                <w:szCs w:val="22"/>
              </w:rPr>
              <w:t>If appropriate, for additional guidance refer to the core examination procedures, “Office of Foreign Assets Control”.</w:t>
            </w:r>
          </w:p>
        </w:tc>
        <w:tc>
          <w:tcPr>
            <w:tcW w:w="5508" w:type="dxa"/>
            <w:shd w:val="clear" w:color="auto" w:fill="auto"/>
          </w:tcPr>
          <w:p w14:paraId="0F5606D3" w14:textId="77777777" w:rsidR="003E02C1" w:rsidRPr="00EC4C3D" w:rsidRDefault="003E02C1" w:rsidP="00FD77C2">
            <w:pPr>
              <w:rPr>
                <w:sz w:val="22"/>
                <w:szCs w:val="22"/>
              </w:rPr>
            </w:pPr>
          </w:p>
        </w:tc>
      </w:tr>
      <w:tr w:rsidR="003E02C1" w:rsidRPr="00EC4C3D" w14:paraId="162BC638" w14:textId="77777777" w:rsidTr="00FD77C2">
        <w:tc>
          <w:tcPr>
            <w:tcW w:w="11016" w:type="dxa"/>
            <w:gridSpan w:val="2"/>
            <w:shd w:val="clear" w:color="auto" w:fill="auto"/>
          </w:tcPr>
          <w:p w14:paraId="140B7247" w14:textId="77777777" w:rsidR="003E02C1" w:rsidRPr="00EC4C3D" w:rsidRDefault="003E02C1" w:rsidP="00FD77C2">
            <w:pPr>
              <w:rPr>
                <w:b/>
                <w:sz w:val="28"/>
                <w:szCs w:val="28"/>
              </w:rPr>
            </w:pPr>
            <w:r w:rsidRPr="00EC4C3D">
              <w:rPr>
                <w:b/>
                <w:sz w:val="28"/>
                <w:szCs w:val="28"/>
              </w:rPr>
              <w:t>Transaction Testing</w:t>
            </w:r>
          </w:p>
        </w:tc>
      </w:tr>
      <w:tr w:rsidR="003E02C1" w:rsidRPr="00EC4C3D" w14:paraId="0353822F" w14:textId="77777777" w:rsidTr="00FD77C2">
        <w:tc>
          <w:tcPr>
            <w:tcW w:w="5508" w:type="dxa"/>
            <w:shd w:val="clear" w:color="auto" w:fill="auto"/>
          </w:tcPr>
          <w:p w14:paraId="285FFD34" w14:textId="77777777" w:rsidR="003E02C1" w:rsidRPr="00EC4C3D" w:rsidRDefault="003E02C1" w:rsidP="003E02C1">
            <w:pPr>
              <w:pStyle w:val="NumberedBSA-AMLList"/>
              <w:numPr>
                <w:ilvl w:val="0"/>
                <w:numId w:val="43"/>
              </w:numPr>
              <w:spacing w:after="0"/>
              <w:rPr>
                <w:sz w:val="22"/>
                <w:szCs w:val="22"/>
              </w:rPr>
            </w:pPr>
            <w:r w:rsidRPr="00EC4C3D">
              <w:rPr>
                <w:sz w:val="22"/>
                <w:szCs w:val="22"/>
              </w:rPr>
              <w:t>On the basis of the bank’s risk assessment of its relationships with professional service providers, as well as prior examination and audit reports, select a sample of high</w:t>
            </w:r>
            <w:r>
              <w:rPr>
                <w:sz w:val="22"/>
                <w:szCs w:val="22"/>
              </w:rPr>
              <w:t>er</w:t>
            </w:r>
            <w:r w:rsidRPr="00EC4C3D">
              <w:rPr>
                <w:sz w:val="22"/>
                <w:szCs w:val="22"/>
              </w:rPr>
              <w:t xml:space="preserve">-risk relationships.  From the sample selected, perform the following </w:t>
            </w:r>
            <w:r w:rsidRPr="00EC4C3D">
              <w:rPr>
                <w:bCs/>
                <w:sz w:val="22"/>
                <w:szCs w:val="22"/>
              </w:rPr>
              <w:t xml:space="preserve">examination </w:t>
            </w:r>
            <w:r w:rsidRPr="00EC4C3D">
              <w:rPr>
                <w:sz w:val="22"/>
                <w:szCs w:val="22"/>
              </w:rPr>
              <w:t>procedures:</w:t>
            </w:r>
          </w:p>
          <w:p w14:paraId="058189D6" w14:textId="77777777" w:rsidR="003E02C1" w:rsidRPr="00EC4C3D" w:rsidRDefault="003E02C1" w:rsidP="003E02C1">
            <w:pPr>
              <w:pStyle w:val="Bulletlist2ndlevel-BSA-AML"/>
              <w:numPr>
                <w:ilvl w:val="0"/>
                <w:numId w:val="44"/>
              </w:numPr>
              <w:tabs>
                <w:tab w:val="left" w:pos="360"/>
              </w:tabs>
              <w:spacing w:after="0"/>
              <w:rPr>
                <w:sz w:val="22"/>
                <w:szCs w:val="22"/>
              </w:rPr>
            </w:pPr>
            <w:r w:rsidRPr="00EC4C3D">
              <w:rPr>
                <w:sz w:val="22"/>
                <w:szCs w:val="22"/>
              </w:rPr>
              <w:t>Review account opening documentation and a sample of transaction activity.</w:t>
            </w:r>
          </w:p>
          <w:p w14:paraId="55919754" w14:textId="77777777" w:rsidR="003E02C1" w:rsidRPr="00EC4C3D" w:rsidRDefault="003E02C1" w:rsidP="003E02C1">
            <w:pPr>
              <w:pStyle w:val="Bulletlist2ndlevel-BSA-AML"/>
              <w:numPr>
                <w:ilvl w:val="0"/>
                <w:numId w:val="44"/>
              </w:numPr>
              <w:tabs>
                <w:tab w:val="left" w:pos="360"/>
              </w:tabs>
              <w:spacing w:after="0"/>
              <w:rPr>
                <w:sz w:val="22"/>
                <w:szCs w:val="22"/>
              </w:rPr>
            </w:pPr>
            <w:r w:rsidRPr="00EC4C3D">
              <w:rPr>
                <w:sz w:val="22"/>
                <w:szCs w:val="22"/>
              </w:rPr>
              <w:t>Determine whether actual account activity is consistent with anticipated (as documented) account activity.  Look for trends in the nature, size, or scope of the transactions, paying particular attention to currency transactions.</w:t>
            </w:r>
          </w:p>
          <w:p w14:paraId="4D676162" w14:textId="77777777" w:rsidR="003E02C1" w:rsidRPr="00EC4C3D" w:rsidRDefault="003E02C1" w:rsidP="003E02C1">
            <w:pPr>
              <w:numPr>
                <w:ilvl w:val="0"/>
                <w:numId w:val="44"/>
              </w:numPr>
              <w:rPr>
                <w:sz w:val="22"/>
                <w:szCs w:val="22"/>
              </w:rPr>
            </w:pPr>
            <w:r w:rsidRPr="00EC4C3D">
              <w:rPr>
                <w:sz w:val="22"/>
                <w:szCs w:val="22"/>
              </w:rPr>
              <w:lastRenderedPageBreak/>
              <w:t>Determine whether ongoing monitoring is sufficient to identify potentially suspicious activity.</w:t>
            </w:r>
          </w:p>
        </w:tc>
        <w:tc>
          <w:tcPr>
            <w:tcW w:w="5508" w:type="dxa"/>
            <w:shd w:val="clear" w:color="auto" w:fill="auto"/>
          </w:tcPr>
          <w:p w14:paraId="120FCDB6" w14:textId="77777777" w:rsidR="003E02C1" w:rsidRPr="00EC4C3D" w:rsidRDefault="003E02C1" w:rsidP="00FD77C2">
            <w:pPr>
              <w:rPr>
                <w:sz w:val="22"/>
                <w:szCs w:val="22"/>
              </w:rPr>
            </w:pPr>
          </w:p>
        </w:tc>
      </w:tr>
      <w:tr w:rsidR="003E02C1" w:rsidRPr="00EC4C3D" w14:paraId="599E79BF" w14:textId="77777777" w:rsidTr="00FD77C2">
        <w:tc>
          <w:tcPr>
            <w:tcW w:w="5508" w:type="dxa"/>
            <w:shd w:val="clear" w:color="auto" w:fill="auto"/>
          </w:tcPr>
          <w:p w14:paraId="35B5E7FE" w14:textId="77777777" w:rsidR="003E02C1" w:rsidRPr="00EC4C3D" w:rsidRDefault="003E02C1" w:rsidP="003E02C1">
            <w:pPr>
              <w:numPr>
                <w:ilvl w:val="0"/>
                <w:numId w:val="43"/>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professional service provider relationships.</w:t>
            </w:r>
          </w:p>
        </w:tc>
        <w:tc>
          <w:tcPr>
            <w:tcW w:w="5508" w:type="dxa"/>
            <w:shd w:val="clear" w:color="auto" w:fill="auto"/>
          </w:tcPr>
          <w:p w14:paraId="1E91C77B" w14:textId="77777777" w:rsidR="003E02C1" w:rsidRPr="00EC4C3D" w:rsidRDefault="003E02C1" w:rsidP="00FD77C2">
            <w:pPr>
              <w:rPr>
                <w:sz w:val="22"/>
                <w:szCs w:val="22"/>
              </w:rPr>
            </w:pPr>
          </w:p>
        </w:tc>
      </w:tr>
    </w:tbl>
    <w:p w14:paraId="44A841C8" w14:textId="77777777" w:rsidR="00666FEA" w:rsidRPr="003E02C1" w:rsidRDefault="00666FEA" w:rsidP="003E02C1">
      <w:bookmarkStart w:id="1" w:name="_GoBack"/>
      <w:bookmarkEnd w:id="1"/>
    </w:p>
    <w:sectPr w:rsidR="00666FEA" w:rsidRPr="003E02C1"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3E02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3E0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3E02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3E02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646F54"/>
    <w:multiLevelType w:val="hybridMultilevel"/>
    <w:tmpl w:val="9B2C4B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5"/>
  </w:num>
  <w:num w:numId="3">
    <w:abstractNumId w:val="34"/>
  </w:num>
  <w:num w:numId="4">
    <w:abstractNumId w:val="19"/>
  </w:num>
  <w:num w:numId="5">
    <w:abstractNumId w:val="7"/>
  </w:num>
  <w:num w:numId="6">
    <w:abstractNumId w:val="26"/>
  </w:num>
  <w:num w:numId="7">
    <w:abstractNumId w:val="8"/>
  </w:num>
  <w:num w:numId="8">
    <w:abstractNumId w:val="6"/>
  </w:num>
  <w:num w:numId="9">
    <w:abstractNumId w:val="43"/>
  </w:num>
  <w:num w:numId="10">
    <w:abstractNumId w:val="0"/>
  </w:num>
  <w:num w:numId="11">
    <w:abstractNumId w:val="10"/>
  </w:num>
  <w:num w:numId="12">
    <w:abstractNumId w:val="12"/>
  </w:num>
  <w:num w:numId="13">
    <w:abstractNumId w:val="5"/>
  </w:num>
  <w:num w:numId="14">
    <w:abstractNumId w:val="9"/>
  </w:num>
  <w:num w:numId="15">
    <w:abstractNumId w:val="28"/>
  </w:num>
  <w:num w:numId="16">
    <w:abstractNumId w:val="38"/>
  </w:num>
  <w:num w:numId="17">
    <w:abstractNumId w:val="31"/>
  </w:num>
  <w:num w:numId="18">
    <w:abstractNumId w:val="16"/>
  </w:num>
  <w:num w:numId="19">
    <w:abstractNumId w:val="14"/>
  </w:num>
  <w:num w:numId="20">
    <w:abstractNumId w:val="25"/>
  </w:num>
  <w:num w:numId="21">
    <w:abstractNumId w:val="23"/>
  </w:num>
  <w:num w:numId="22">
    <w:abstractNumId w:val="39"/>
  </w:num>
  <w:num w:numId="23">
    <w:abstractNumId w:val="24"/>
  </w:num>
  <w:num w:numId="24">
    <w:abstractNumId w:val="35"/>
  </w:num>
  <w:num w:numId="25">
    <w:abstractNumId w:val="2"/>
  </w:num>
  <w:num w:numId="26">
    <w:abstractNumId w:val="20"/>
  </w:num>
  <w:num w:numId="27">
    <w:abstractNumId w:val="17"/>
  </w:num>
  <w:num w:numId="28">
    <w:abstractNumId w:val="29"/>
  </w:num>
  <w:num w:numId="29">
    <w:abstractNumId w:val="30"/>
  </w:num>
  <w:num w:numId="30">
    <w:abstractNumId w:val="1"/>
  </w:num>
  <w:num w:numId="31">
    <w:abstractNumId w:val="21"/>
  </w:num>
  <w:num w:numId="32">
    <w:abstractNumId w:val="18"/>
  </w:num>
  <w:num w:numId="33">
    <w:abstractNumId w:val="13"/>
  </w:num>
  <w:num w:numId="34">
    <w:abstractNumId w:val="3"/>
  </w:num>
  <w:num w:numId="35">
    <w:abstractNumId w:val="40"/>
  </w:num>
  <w:num w:numId="36">
    <w:abstractNumId w:val="37"/>
  </w:num>
  <w:num w:numId="37">
    <w:abstractNumId w:val="11"/>
  </w:num>
  <w:num w:numId="38">
    <w:abstractNumId w:val="42"/>
  </w:num>
  <w:num w:numId="39">
    <w:abstractNumId w:val="27"/>
  </w:num>
  <w:num w:numId="40">
    <w:abstractNumId w:val="32"/>
  </w:num>
  <w:num w:numId="41">
    <w:abstractNumId w:val="36"/>
  </w:num>
  <w:num w:numId="42">
    <w:abstractNumId w:val="41"/>
  </w:num>
  <w:num w:numId="43">
    <w:abstractNumId w:val="4"/>
  </w:num>
  <w:num w:numId="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77484"/>
    <w:rsid w:val="000B6182"/>
    <w:rsid w:val="00131D24"/>
    <w:rsid w:val="00131ED5"/>
    <w:rsid w:val="00153D87"/>
    <w:rsid w:val="001C597F"/>
    <w:rsid w:val="00214C57"/>
    <w:rsid w:val="002456DC"/>
    <w:rsid w:val="002A317A"/>
    <w:rsid w:val="002C7896"/>
    <w:rsid w:val="002F497B"/>
    <w:rsid w:val="003017B2"/>
    <w:rsid w:val="00381955"/>
    <w:rsid w:val="003C78D0"/>
    <w:rsid w:val="003E02C1"/>
    <w:rsid w:val="004076B6"/>
    <w:rsid w:val="004241FF"/>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03B5F"/>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65C35"/>
    <w:rsid w:val="00A9534A"/>
    <w:rsid w:val="00AB7A7D"/>
    <w:rsid w:val="00AC3068"/>
    <w:rsid w:val="00AF2A9F"/>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 w:type="paragraph" w:customStyle="1" w:styleId="Bulletinfootnote-1stlevel">
    <w:name w:val="Bullet in footnote-1st level"/>
    <w:basedOn w:val="BulletlistBSA-AML"/>
    <w:next w:val="Bodyfootnote-BSA-AML"/>
    <w:rsid w:val="00AF2A9F"/>
    <w:pPr>
      <w:numPr>
        <w:numId w:val="35"/>
      </w:numPr>
      <w:spacing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7D82-5BCF-C945-AF80-4A2E1CAD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Company>CPS</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2018-06-06T15:29:00Z</dcterms:created>
  <dcterms:modified xsi:type="dcterms:W3CDTF">2018-06-06T15:29:00Z</dcterms:modified>
</cp:coreProperties>
</file>