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8D7FF" w14:textId="77777777" w:rsidR="00C055E0" w:rsidRPr="0086047B" w:rsidRDefault="00C055E0" w:rsidP="00C055E0">
      <w:pPr>
        <w:pStyle w:val="Head3-BSA-AML"/>
        <w:rPr>
          <w:sz w:val="36"/>
          <w:szCs w:val="36"/>
        </w:rPr>
      </w:pPr>
      <w:bookmarkStart w:id="0" w:name="_Toc135558637"/>
      <w:r w:rsidRPr="0086047B">
        <w:rPr>
          <w:sz w:val="36"/>
          <w:szCs w:val="36"/>
        </w:rPr>
        <w:t>Examination Procedures</w:t>
      </w:r>
    </w:p>
    <w:p w14:paraId="1CB32E53" w14:textId="77777777" w:rsidR="00C055E0" w:rsidRDefault="00C055E0" w:rsidP="00C055E0">
      <w:pPr>
        <w:pStyle w:val="Head4-BSA-AML"/>
        <w:jc w:val="center"/>
      </w:pPr>
      <w:r>
        <w:t>Business Entities (Domestic and Foreign)</w:t>
      </w:r>
      <w:bookmarkEnd w:id="0"/>
    </w:p>
    <w:p w14:paraId="2104F414" w14:textId="77777777" w:rsidR="00C055E0" w:rsidRDefault="00C055E0" w:rsidP="00C055E0">
      <w:pPr>
        <w:rPr>
          <w:i/>
        </w:rPr>
      </w:pPr>
      <w:r>
        <w:rPr>
          <w:rStyle w:val="Head7-BSA-AMLCharChar"/>
        </w:rPr>
        <w:t>Objective.</w:t>
      </w:r>
      <w:r>
        <w:t xml:space="preserve">  </w:t>
      </w:r>
      <w:r w:rsidRPr="000764F6">
        <w:rPr>
          <w:i/>
          <w:sz w:val="24"/>
          <w:szCs w:val="24"/>
        </w:rPr>
        <w:t>Assess the adequacy of the bank’s systems to manage the risks associated with transactions involving domestic and foreign business entities, and management’s ability to implement effective due diligence, monitoring, and reporting systems</w:t>
      </w:r>
      <w:r w:rsidRPr="006615D2">
        <w:rPr>
          <w:i/>
        </w:rPr>
        <w:t>.</w:t>
      </w:r>
    </w:p>
    <w:p w14:paraId="56147982" w14:textId="77777777" w:rsidR="00C055E0" w:rsidRDefault="00C055E0" w:rsidP="00C055E0">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5"/>
        <w:gridCol w:w="5385"/>
      </w:tblGrid>
      <w:tr w:rsidR="00C055E0" w:rsidRPr="00EC4C3D" w14:paraId="4942BB65" w14:textId="77777777" w:rsidTr="00FD77C2">
        <w:trPr>
          <w:tblHeader/>
        </w:trPr>
        <w:tc>
          <w:tcPr>
            <w:tcW w:w="5508" w:type="dxa"/>
            <w:tcBorders>
              <w:bottom w:val="single" w:sz="4" w:space="0" w:color="auto"/>
            </w:tcBorders>
            <w:shd w:val="clear" w:color="auto" w:fill="E0E0E0"/>
          </w:tcPr>
          <w:p w14:paraId="6A864CB0" w14:textId="77777777" w:rsidR="00C055E0" w:rsidRPr="00EC4C3D" w:rsidRDefault="00C055E0"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3D38DB52" w14:textId="77777777" w:rsidR="00C055E0" w:rsidRPr="00EC4C3D" w:rsidRDefault="00C055E0" w:rsidP="00FD77C2">
            <w:pPr>
              <w:rPr>
                <w:b/>
                <w:sz w:val="28"/>
                <w:szCs w:val="28"/>
              </w:rPr>
            </w:pPr>
            <w:r w:rsidRPr="00EC4C3D">
              <w:rPr>
                <w:b/>
                <w:sz w:val="28"/>
                <w:szCs w:val="28"/>
              </w:rPr>
              <w:t>Comments</w:t>
            </w:r>
          </w:p>
        </w:tc>
      </w:tr>
      <w:tr w:rsidR="00C055E0" w:rsidRPr="00EC4C3D" w14:paraId="289C2878" w14:textId="77777777" w:rsidTr="00FD77C2">
        <w:tc>
          <w:tcPr>
            <w:tcW w:w="5508" w:type="dxa"/>
            <w:shd w:val="clear" w:color="auto" w:fill="auto"/>
          </w:tcPr>
          <w:p w14:paraId="201BED08" w14:textId="77777777" w:rsidR="00C055E0" w:rsidRPr="00EC4C3D" w:rsidRDefault="00C055E0" w:rsidP="00C055E0">
            <w:pPr>
              <w:pStyle w:val="NumberedBSA-AMLList"/>
              <w:numPr>
                <w:ilvl w:val="0"/>
                <w:numId w:val="47"/>
              </w:numPr>
              <w:spacing w:after="0"/>
              <w:rPr>
                <w:sz w:val="22"/>
                <w:szCs w:val="22"/>
              </w:rPr>
            </w:pPr>
            <w:r w:rsidRPr="00EC4C3D">
              <w:rPr>
                <w:sz w:val="22"/>
                <w:szCs w:val="22"/>
              </w:rPr>
              <w:t>Review the bank’s policies, procedures, and processes related to business entities.  Evaluate the adequacy of the policies, procedures, and processes given the bank’s transactions with business entities and the risks they present.  Assess whether the controls are adequate to reasonably protect the bank from money laundering and terrorist financing.</w:t>
            </w:r>
          </w:p>
        </w:tc>
        <w:tc>
          <w:tcPr>
            <w:tcW w:w="5508" w:type="dxa"/>
            <w:shd w:val="clear" w:color="auto" w:fill="auto"/>
          </w:tcPr>
          <w:p w14:paraId="6A610F7D" w14:textId="77777777" w:rsidR="00C055E0" w:rsidRPr="00EC4C3D" w:rsidRDefault="00C055E0" w:rsidP="00FD77C2">
            <w:pPr>
              <w:rPr>
                <w:sz w:val="22"/>
                <w:szCs w:val="22"/>
              </w:rPr>
            </w:pPr>
          </w:p>
        </w:tc>
      </w:tr>
      <w:tr w:rsidR="00C055E0" w:rsidRPr="00EC4C3D" w14:paraId="5E9A1C0A" w14:textId="77777777" w:rsidTr="00FD77C2">
        <w:tc>
          <w:tcPr>
            <w:tcW w:w="5508" w:type="dxa"/>
            <w:shd w:val="clear" w:color="auto" w:fill="auto"/>
          </w:tcPr>
          <w:p w14:paraId="09C95951" w14:textId="77777777" w:rsidR="00C055E0" w:rsidRPr="00EC4C3D" w:rsidRDefault="00C055E0" w:rsidP="00C055E0">
            <w:pPr>
              <w:pStyle w:val="NumberedBSA-AMLList"/>
              <w:numPr>
                <w:ilvl w:val="0"/>
                <w:numId w:val="47"/>
              </w:numPr>
              <w:spacing w:after="0"/>
              <w:rPr>
                <w:sz w:val="22"/>
                <w:szCs w:val="22"/>
              </w:rPr>
            </w:pPr>
            <w:r w:rsidRPr="00EC4C3D">
              <w:rPr>
                <w:sz w:val="22"/>
                <w:szCs w:val="22"/>
              </w:rPr>
              <w:t xml:space="preserve">Review the policies and processes for opening and monitoring accounts with business entities.  Determine whether the policies adequately assess the risk between different account types.  </w:t>
            </w:r>
          </w:p>
        </w:tc>
        <w:tc>
          <w:tcPr>
            <w:tcW w:w="5508" w:type="dxa"/>
            <w:shd w:val="clear" w:color="auto" w:fill="auto"/>
          </w:tcPr>
          <w:p w14:paraId="0C74241D" w14:textId="77777777" w:rsidR="00C055E0" w:rsidRPr="00EC4C3D" w:rsidRDefault="00C055E0" w:rsidP="00FD77C2">
            <w:pPr>
              <w:rPr>
                <w:sz w:val="22"/>
                <w:szCs w:val="22"/>
              </w:rPr>
            </w:pPr>
          </w:p>
        </w:tc>
      </w:tr>
      <w:tr w:rsidR="00C055E0" w:rsidRPr="00EC4C3D" w14:paraId="6FDE98E9" w14:textId="77777777" w:rsidTr="00FD77C2">
        <w:tc>
          <w:tcPr>
            <w:tcW w:w="5508" w:type="dxa"/>
            <w:shd w:val="clear" w:color="auto" w:fill="auto"/>
          </w:tcPr>
          <w:p w14:paraId="59328B9D" w14:textId="77777777" w:rsidR="00C055E0" w:rsidRPr="00EC4C3D" w:rsidRDefault="00C055E0" w:rsidP="00C055E0">
            <w:pPr>
              <w:numPr>
                <w:ilvl w:val="0"/>
                <w:numId w:val="47"/>
              </w:numPr>
              <w:rPr>
                <w:sz w:val="22"/>
                <w:szCs w:val="22"/>
              </w:rPr>
            </w:pPr>
            <w:r w:rsidRPr="00EC4C3D">
              <w:rPr>
                <w:sz w:val="22"/>
                <w:szCs w:val="22"/>
              </w:rPr>
              <w:t>Determine how the bank identifies and, as necessary, completes additional due diligence on business entities.  Assess the level of due diligence the bank performs when conducting its risk assessment.</w:t>
            </w:r>
          </w:p>
        </w:tc>
        <w:tc>
          <w:tcPr>
            <w:tcW w:w="5508" w:type="dxa"/>
            <w:shd w:val="clear" w:color="auto" w:fill="auto"/>
          </w:tcPr>
          <w:p w14:paraId="0322FA07" w14:textId="77777777" w:rsidR="00C055E0" w:rsidRPr="00EC4C3D" w:rsidRDefault="00C055E0" w:rsidP="00FD77C2">
            <w:pPr>
              <w:rPr>
                <w:sz w:val="22"/>
                <w:szCs w:val="22"/>
              </w:rPr>
            </w:pPr>
          </w:p>
        </w:tc>
      </w:tr>
      <w:tr w:rsidR="00C055E0" w:rsidRPr="00EC4C3D" w14:paraId="309B2885" w14:textId="77777777" w:rsidTr="00FD77C2">
        <w:tc>
          <w:tcPr>
            <w:tcW w:w="5508" w:type="dxa"/>
            <w:shd w:val="clear" w:color="auto" w:fill="auto"/>
          </w:tcPr>
          <w:p w14:paraId="499D0F98" w14:textId="77777777" w:rsidR="00C055E0" w:rsidRPr="00EC4C3D" w:rsidRDefault="00C055E0" w:rsidP="00C055E0">
            <w:pPr>
              <w:numPr>
                <w:ilvl w:val="0"/>
                <w:numId w:val="47"/>
              </w:numPr>
              <w:rPr>
                <w:sz w:val="22"/>
                <w:szCs w:val="22"/>
              </w:rPr>
            </w:pPr>
            <w:r w:rsidRPr="00EC4C3D">
              <w:rPr>
                <w:bCs/>
                <w:sz w:val="22"/>
                <w:szCs w:val="22"/>
              </w:rPr>
              <w:t>From</w:t>
            </w:r>
            <w:r w:rsidRPr="00EC4C3D">
              <w:rPr>
                <w:sz w:val="22"/>
                <w:szCs w:val="22"/>
              </w:rPr>
              <w:t xml:space="preserve"> a review of MIS and internal risk rating factors, determine whether the bank </w:t>
            </w:r>
            <w:r w:rsidRPr="00EC4C3D">
              <w:rPr>
                <w:iCs/>
                <w:sz w:val="22"/>
                <w:szCs w:val="22"/>
              </w:rPr>
              <w:t xml:space="preserve">effectively </w:t>
            </w:r>
            <w:r w:rsidRPr="00EC4C3D">
              <w:rPr>
                <w:sz w:val="22"/>
                <w:szCs w:val="22"/>
              </w:rPr>
              <w:t>identifies and monitors high</w:t>
            </w:r>
            <w:r>
              <w:rPr>
                <w:sz w:val="22"/>
                <w:szCs w:val="22"/>
              </w:rPr>
              <w:t>er</w:t>
            </w:r>
            <w:r w:rsidRPr="00EC4C3D">
              <w:rPr>
                <w:sz w:val="22"/>
                <w:szCs w:val="22"/>
              </w:rPr>
              <w:t>-risk business entity accounts.</w:t>
            </w:r>
          </w:p>
        </w:tc>
        <w:tc>
          <w:tcPr>
            <w:tcW w:w="5508" w:type="dxa"/>
            <w:shd w:val="clear" w:color="auto" w:fill="auto"/>
          </w:tcPr>
          <w:p w14:paraId="296C08D2" w14:textId="77777777" w:rsidR="00C055E0" w:rsidRPr="00EC4C3D" w:rsidRDefault="00C055E0" w:rsidP="00FD77C2">
            <w:pPr>
              <w:rPr>
                <w:sz w:val="22"/>
                <w:szCs w:val="22"/>
              </w:rPr>
            </w:pPr>
          </w:p>
        </w:tc>
      </w:tr>
      <w:tr w:rsidR="00C055E0" w:rsidRPr="00EC4C3D" w14:paraId="7CC48697" w14:textId="77777777" w:rsidTr="00FD77C2">
        <w:tc>
          <w:tcPr>
            <w:tcW w:w="5508" w:type="dxa"/>
            <w:shd w:val="clear" w:color="auto" w:fill="auto"/>
          </w:tcPr>
          <w:p w14:paraId="4B6E540D" w14:textId="77777777" w:rsidR="00C055E0" w:rsidRPr="00EC4C3D" w:rsidRDefault="00C055E0" w:rsidP="00C055E0">
            <w:pPr>
              <w:numPr>
                <w:ilvl w:val="0"/>
                <w:numId w:val="47"/>
              </w:numPr>
              <w:rPr>
                <w:sz w:val="22"/>
                <w:szCs w:val="22"/>
              </w:rPr>
            </w:pPr>
            <w:r w:rsidRPr="00EC4C3D">
              <w:rPr>
                <w:sz w:val="22"/>
                <w:szCs w:val="22"/>
              </w:rPr>
              <w:t>Determine whether the bank’s system for monitoring business entities for suspicious activities, and for reporting of suspicious activities, is adequate given the activities associated with business entities.</w:t>
            </w:r>
          </w:p>
        </w:tc>
        <w:tc>
          <w:tcPr>
            <w:tcW w:w="5508" w:type="dxa"/>
            <w:shd w:val="clear" w:color="auto" w:fill="auto"/>
          </w:tcPr>
          <w:p w14:paraId="629B597A" w14:textId="77777777" w:rsidR="00C055E0" w:rsidRPr="00EC4C3D" w:rsidRDefault="00C055E0" w:rsidP="00FD77C2">
            <w:pPr>
              <w:rPr>
                <w:sz w:val="22"/>
                <w:szCs w:val="22"/>
              </w:rPr>
            </w:pPr>
          </w:p>
        </w:tc>
      </w:tr>
      <w:tr w:rsidR="00C055E0" w:rsidRPr="00EC4C3D" w14:paraId="0D4F212D" w14:textId="77777777" w:rsidTr="00FD77C2">
        <w:tc>
          <w:tcPr>
            <w:tcW w:w="5508" w:type="dxa"/>
            <w:shd w:val="clear" w:color="auto" w:fill="auto"/>
          </w:tcPr>
          <w:p w14:paraId="1A6C56EE" w14:textId="77777777" w:rsidR="00C055E0" w:rsidRPr="00EC4C3D" w:rsidRDefault="00C055E0" w:rsidP="00C055E0">
            <w:pPr>
              <w:numPr>
                <w:ilvl w:val="0"/>
                <w:numId w:val="47"/>
              </w:numPr>
              <w:rPr>
                <w:sz w:val="22"/>
                <w:szCs w:val="22"/>
              </w:rPr>
            </w:pPr>
            <w:r w:rsidRPr="00EC4C3D">
              <w:rPr>
                <w:sz w:val="22"/>
                <w:szCs w:val="22"/>
              </w:rPr>
              <w:t>If appropriate, for additional guidance refer to the core examination procedures, “Office of Foreign Assets Control</w:t>
            </w:r>
            <w:r w:rsidRPr="0083391B">
              <w:rPr>
                <w:sz w:val="22"/>
                <w:szCs w:val="22"/>
              </w:rPr>
              <w:t>”</w:t>
            </w:r>
            <w:r w:rsidRPr="00EC4C3D">
              <w:rPr>
                <w:sz w:val="22"/>
                <w:szCs w:val="22"/>
              </w:rPr>
              <w:t>.</w:t>
            </w:r>
          </w:p>
        </w:tc>
        <w:tc>
          <w:tcPr>
            <w:tcW w:w="5508" w:type="dxa"/>
            <w:shd w:val="clear" w:color="auto" w:fill="auto"/>
          </w:tcPr>
          <w:p w14:paraId="494F968B" w14:textId="77777777" w:rsidR="00C055E0" w:rsidRPr="00EC4C3D" w:rsidRDefault="00C055E0" w:rsidP="00FD77C2">
            <w:pPr>
              <w:rPr>
                <w:sz w:val="22"/>
                <w:szCs w:val="22"/>
              </w:rPr>
            </w:pPr>
          </w:p>
        </w:tc>
      </w:tr>
      <w:tr w:rsidR="00C055E0" w:rsidRPr="00EC4C3D" w14:paraId="4FE838B0" w14:textId="77777777" w:rsidTr="00FD77C2">
        <w:tc>
          <w:tcPr>
            <w:tcW w:w="11016" w:type="dxa"/>
            <w:gridSpan w:val="2"/>
            <w:shd w:val="clear" w:color="auto" w:fill="auto"/>
          </w:tcPr>
          <w:p w14:paraId="2FB8642F" w14:textId="77777777" w:rsidR="00C055E0" w:rsidRPr="00EC4C3D" w:rsidRDefault="00C055E0" w:rsidP="00FD77C2">
            <w:pPr>
              <w:rPr>
                <w:b/>
                <w:sz w:val="28"/>
                <w:szCs w:val="28"/>
              </w:rPr>
            </w:pPr>
            <w:r w:rsidRPr="00EC4C3D">
              <w:rPr>
                <w:b/>
                <w:sz w:val="28"/>
                <w:szCs w:val="28"/>
              </w:rPr>
              <w:t>Transaction Testing</w:t>
            </w:r>
          </w:p>
        </w:tc>
      </w:tr>
      <w:tr w:rsidR="00C055E0" w:rsidRPr="00EC4C3D" w14:paraId="2C3EB5DF" w14:textId="77777777" w:rsidTr="00FD77C2">
        <w:tc>
          <w:tcPr>
            <w:tcW w:w="5508" w:type="dxa"/>
            <w:shd w:val="clear" w:color="auto" w:fill="auto"/>
          </w:tcPr>
          <w:p w14:paraId="1AD39B12" w14:textId="77777777" w:rsidR="00C055E0" w:rsidRPr="00EC4C3D" w:rsidRDefault="00C055E0" w:rsidP="00C055E0">
            <w:pPr>
              <w:pStyle w:val="NumberedBSA-AMLList"/>
              <w:numPr>
                <w:ilvl w:val="0"/>
                <w:numId w:val="47"/>
              </w:numPr>
              <w:spacing w:after="0"/>
              <w:rPr>
                <w:sz w:val="22"/>
                <w:szCs w:val="22"/>
              </w:rPr>
            </w:pPr>
            <w:r w:rsidRPr="00EC4C3D">
              <w:rPr>
                <w:sz w:val="22"/>
                <w:szCs w:val="22"/>
              </w:rPr>
              <w:t>On the basis of the bank’s risk assessment of its accounts with business entities, as well as prior examination and audit reports, select a sample of these accounts.  Include the following risk factors:</w:t>
            </w:r>
          </w:p>
          <w:p w14:paraId="42F0C0EE" w14:textId="77777777" w:rsidR="00C055E0" w:rsidRPr="00EC4C3D" w:rsidRDefault="00C055E0" w:rsidP="00C055E0">
            <w:pPr>
              <w:pStyle w:val="Bulletlist2ndlevel-BSA-AML"/>
              <w:numPr>
                <w:ilvl w:val="0"/>
                <w:numId w:val="48"/>
              </w:numPr>
              <w:tabs>
                <w:tab w:val="left" w:pos="360"/>
              </w:tabs>
              <w:spacing w:after="0"/>
              <w:rPr>
                <w:sz w:val="22"/>
                <w:szCs w:val="22"/>
              </w:rPr>
            </w:pPr>
            <w:r w:rsidRPr="00EC4C3D">
              <w:rPr>
                <w:sz w:val="22"/>
                <w:szCs w:val="22"/>
              </w:rPr>
              <w:t>An entity organized in a high</w:t>
            </w:r>
            <w:r>
              <w:rPr>
                <w:sz w:val="22"/>
                <w:szCs w:val="22"/>
              </w:rPr>
              <w:t>er</w:t>
            </w:r>
            <w:r w:rsidRPr="00EC4C3D">
              <w:rPr>
                <w:sz w:val="22"/>
                <w:szCs w:val="22"/>
              </w:rPr>
              <w:t>-risk jurisdiction.</w:t>
            </w:r>
          </w:p>
          <w:p w14:paraId="29263790" w14:textId="77777777" w:rsidR="00C055E0" w:rsidRPr="00EC4C3D" w:rsidRDefault="00C055E0" w:rsidP="00C055E0">
            <w:pPr>
              <w:pStyle w:val="Bulletlist2ndlevel-BSA-AML"/>
              <w:numPr>
                <w:ilvl w:val="0"/>
                <w:numId w:val="48"/>
              </w:numPr>
              <w:tabs>
                <w:tab w:val="left" w:pos="360"/>
              </w:tabs>
              <w:spacing w:after="0"/>
              <w:rPr>
                <w:sz w:val="22"/>
                <w:szCs w:val="22"/>
              </w:rPr>
            </w:pPr>
            <w:r w:rsidRPr="00EC4C3D">
              <w:rPr>
                <w:sz w:val="22"/>
                <w:szCs w:val="22"/>
              </w:rPr>
              <w:t>Account activity that is substantially currency based.</w:t>
            </w:r>
          </w:p>
          <w:p w14:paraId="3A2E65A1" w14:textId="77777777" w:rsidR="00C055E0" w:rsidRPr="00EC4C3D" w:rsidRDefault="00C055E0" w:rsidP="00C055E0">
            <w:pPr>
              <w:pStyle w:val="Bulletlist2ndlevel-BSA-AML"/>
              <w:numPr>
                <w:ilvl w:val="0"/>
                <w:numId w:val="48"/>
              </w:numPr>
              <w:tabs>
                <w:tab w:val="left" w:pos="360"/>
              </w:tabs>
              <w:spacing w:after="0"/>
              <w:rPr>
                <w:sz w:val="22"/>
                <w:szCs w:val="22"/>
              </w:rPr>
            </w:pPr>
            <w:r w:rsidRPr="00EC4C3D">
              <w:rPr>
                <w:sz w:val="22"/>
                <w:szCs w:val="22"/>
              </w:rPr>
              <w:t>An entity whose account activity consists primarily of circular-patterned funds transfers.</w:t>
            </w:r>
          </w:p>
          <w:p w14:paraId="20FDB4EC" w14:textId="77777777" w:rsidR="00C055E0" w:rsidRPr="00EC4C3D" w:rsidRDefault="00C055E0" w:rsidP="00C055E0">
            <w:pPr>
              <w:pStyle w:val="Bulletlist2ndlevel-BSA-AML"/>
              <w:numPr>
                <w:ilvl w:val="0"/>
                <w:numId w:val="48"/>
              </w:numPr>
              <w:tabs>
                <w:tab w:val="left" w:pos="360"/>
              </w:tabs>
              <w:spacing w:after="0"/>
              <w:rPr>
                <w:sz w:val="22"/>
                <w:szCs w:val="22"/>
              </w:rPr>
            </w:pPr>
            <w:r w:rsidRPr="00EC4C3D">
              <w:rPr>
                <w:sz w:val="22"/>
                <w:szCs w:val="22"/>
              </w:rPr>
              <w:t>A business entity whose ownership is in bearer shares, especially those whose bearer shares are not under bank or trusted third-party control.</w:t>
            </w:r>
          </w:p>
          <w:p w14:paraId="401276A2" w14:textId="77777777" w:rsidR="00C055E0" w:rsidRPr="00EC4C3D" w:rsidRDefault="00C055E0" w:rsidP="00C055E0">
            <w:pPr>
              <w:pStyle w:val="Bulletlist2ndlevel-BSA-AML"/>
              <w:numPr>
                <w:ilvl w:val="0"/>
                <w:numId w:val="48"/>
              </w:numPr>
              <w:tabs>
                <w:tab w:val="left" w:pos="360"/>
              </w:tabs>
              <w:spacing w:after="0"/>
              <w:rPr>
                <w:sz w:val="22"/>
                <w:szCs w:val="22"/>
              </w:rPr>
            </w:pPr>
            <w:r w:rsidRPr="00EC4C3D">
              <w:rPr>
                <w:sz w:val="22"/>
                <w:szCs w:val="22"/>
              </w:rPr>
              <w:t>An entity that uses a wide range of bank services, particularly trust and correspondent services.</w:t>
            </w:r>
          </w:p>
          <w:p w14:paraId="1F5E07D6" w14:textId="77777777" w:rsidR="00C055E0" w:rsidRPr="00EC4C3D" w:rsidRDefault="00C055E0" w:rsidP="00C055E0">
            <w:pPr>
              <w:pStyle w:val="Bulletlist2ndlevel-BSA-AML"/>
              <w:numPr>
                <w:ilvl w:val="0"/>
                <w:numId w:val="48"/>
              </w:numPr>
              <w:tabs>
                <w:tab w:val="left" w:pos="360"/>
              </w:tabs>
              <w:spacing w:after="0"/>
              <w:rPr>
                <w:sz w:val="22"/>
                <w:szCs w:val="22"/>
              </w:rPr>
            </w:pPr>
            <w:r w:rsidRPr="00EC4C3D">
              <w:rPr>
                <w:sz w:val="22"/>
                <w:szCs w:val="22"/>
              </w:rPr>
              <w:lastRenderedPageBreak/>
              <w:t>An entity owned or controlled by other nonpublic business entities.</w:t>
            </w:r>
          </w:p>
          <w:p w14:paraId="755F4E31" w14:textId="77777777" w:rsidR="00C055E0" w:rsidRPr="00EC4C3D" w:rsidRDefault="00C055E0" w:rsidP="00C055E0">
            <w:pPr>
              <w:numPr>
                <w:ilvl w:val="0"/>
                <w:numId w:val="48"/>
              </w:numPr>
              <w:rPr>
                <w:sz w:val="22"/>
                <w:szCs w:val="22"/>
              </w:rPr>
            </w:pPr>
            <w:r w:rsidRPr="00EC4C3D">
              <w:rPr>
                <w:sz w:val="22"/>
                <w:szCs w:val="22"/>
              </w:rPr>
              <w:t>Business entities for which the bank has filed SARs.</w:t>
            </w:r>
          </w:p>
        </w:tc>
        <w:tc>
          <w:tcPr>
            <w:tcW w:w="5508" w:type="dxa"/>
            <w:shd w:val="clear" w:color="auto" w:fill="auto"/>
          </w:tcPr>
          <w:p w14:paraId="6447A981" w14:textId="77777777" w:rsidR="00C055E0" w:rsidRPr="00EC4C3D" w:rsidRDefault="00C055E0" w:rsidP="00FD77C2">
            <w:pPr>
              <w:rPr>
                <w:sz w:val="22"/>
                <w:szCs w:val="22"/>
              </w:rPr>
            </w:pPr>
          </w:p>
        </w:tc>
      </w:tr>
      <w:tr w:rsidR="00C055E0" w:rsidRPr="00EC4C3D" w14:paraId="24159AA7" w14:textId="77777777" w:rsidTr="00FD77C2">
        <w:tc>
          <w:tcPr>
            <w:tcW w:w="5508" w:type="dxa"/>
            <w:shd w:val="clear" w:color="auto" w:fill="auto"/>
          </w:tcPr>
          <w:p w14:paraId="7CD3F716" w14:textId="77777777" w:rsidR="00C055E0" w:rsidRPr="00EC4C3D" w:rsidRDefault="00C055E0" w:rsidP="00C055E0">
            <w:pPr>
              <w:numPr>
                <w:ilvl w:val="0"/>
                <w:numId w:val="47"/>
              </w:numPr>
              <w:rPr>
                <w:sz w:val="22"/>
                <w:szCs w:val="22"/>
              </w:rPr>
            </w:pPr>
            <w:r w:rsidRPr="00EC4C3D">
              <w:rPr>
                <w:sz w:val="22"/>
                <w:szCs w:val="22"/>
              </w:rPr>
              <w:t>From the sample selected, obtain a relationship report for each selected account.  It is critical that the full relationship, rather than only an individual account, be reviewed.</w:t>
            </w:r>
          </w:p>
        </w:tc>
        <w:tc>
          <w:tcPr>
            <w:tcW w:w="5508" w:type="dxa"/>
            <w:shd w:val="clear" w:color="auto" w:fill="auto"/>
          </w:tcPr>
          <w:p w14:paraId="6ABB0758" w14:textId="77777777" w:rsidR="00C055E0" w:rsidRPr="00EC4C3D" w:rsidRDefault="00C055E0" w:rsidP="00FD77C2">
            <w:pPr>
              <w:rPr>
                <w:sz w:val="22"/>
                <w:szCs w:val="22"/>
              </w:rPr>
            </w:pPr>
          </w:p>
        </w:tc>
      </w:tr>
      <w:tr w:rsidR="00C055E0" w:rsidRPr="00EC4C3D" w14:paraId="42B84B89" w14:textId="77777777" w:rsidTr="00FD77C2">
        <w:tc>
          <w:tcPr>
            <w:tcW w:w="5508" w:type="dxa"/>
            <w:shd w:val="clear" w:color="auto" w:fill="auto"/>
          </w:tcPr>
          <w:p w14:paraId="6BDAD0C8" w14:textId="77777777" w:rsidR="00C055E0" w:rsidRPr="00EC4C3D" w:rsidRDefault="00C055E0" w:rsidP="00C055E0">
            <w:pPr>
              <w:numPr>
                <w:ilvl w:val="0"/>
                <w:numId w:val="47"/>
              </w:numPr>
              <w:rPr>
                <w:sz w:val="22"/>
                <w:szCs w:val="22"/>
              </w:rPr>
            </w:pPr>
            <w:r w:rsidRPr="00EC4C3D">
              <w:rPr>
                <w:sz w:val="22"/>
                <w:szCs w:val="22"/>
              </w:rPr>
              <w:t>Review the due diligence information on the business entity.  Assess the adequacy of that information.</w:t>
            </w:r>
          </w:p>
        </w:tc>
        <w:tc>
          <w:tcPr>
            <w:tcW w:w="5508" w:type="dxa"/>
            <w:shd w:val="clear" w:color="auto" w:fill="auto"/>
          </w:tcPr>
          <w:p w14:paraId="448879DF" w14:textId="77777777" w:rsidR="00C055E0" w:rsidRPr="00EC4C3D" w:rsidRDefault="00C055E0" w:rsidP="00FD77C2">
            <w:pPr>
              <w:rPr>
                <w:sz w:val="22"/>
                <w:szCs w:val="22"/>
              </w:rPr>
            </w:pPr>
          </w:p>
        </w:tc>
      </w:tr>
      <w:tr w:rsidR="00C055E0" w:rsidRPr="00EC4C3D" w14:paraId="02009CB7" w14:textId="77777777" w:rsidTr="00FD77C2">
        <w:tc>
          <w:tcPr>
            <w:tcW w:w="5508" w:type="dxa"/>
            <w:shd w:val="clear" w:color="auto" w:fill="auto"/>
          </w:tcPr>
          <w:p w14:paraId="33369359" w14:textId="77777777" w:rsidR="00C055E0" w:rsidRPr="00EC4C3D" w:rsidRDefault="00C055E0" w:rsidP="00C055E0">
            <w:pPr>
              <w:numPr>
                <w:ilvl w:val="0"/>
                <w:numId w:val="47"/>
              </w:numPr>
              <w:rPr>
                <w:sz w:val="22"/>
                <w:szCs w:val="22"/>
              </w:rPr>
            </w:pPr>
            <w:r w:rsidRPr="00EC4C3D">
              <w:rPr>
                <w:sz w:val="22"/>
                <w:szCs w:val="22"/>
              </w:rPr>
              <w:t xml:space="preserve">Review account statements and, as necessary, specific transaction details.  Compare expected transactions with actual activity.  Determine whether actual activity is consistent with the nature and stated purpose of the account and whether transactions appear unusual or suspicious.  Areas that may pose a </w:t>
            </w:r>
            <w:r>
              <w:rPr>
                <w:sz w:val="22"/>
                <w:szCs w:val="22"/>
              </w:rPr>
              <w:t>higher risk</w:t>
            </w:r>
            <w:r w:rsidRPr="00EC4C3D">
              <w:rPr>
                <w:sz w:val="22"/>
                <w:szCs w:val="22"/>
              </w:rPr>
              <w:t>, such as funds transfers, private banking, trust, and monetary instruments, should be a primary focus of the transaction review.</w:t>
            </w:r>
          </w:p>
        </w:tc>
        <w:tc>
          <w:tcPr>
            <w:tcW w:w="5508" w:type="dxa"/>
            <w:shd w:val="clear" w:color="auto" w:fill="auto"/>
          </w:tcPr>
          <w:p w14:paraId="4FBF893C" w14:textId="77777777" w:rsidR="00C055E0" w:rsidRPr="00EC4C3D" w:rsidRDefault="00C055E0" w:rsidP="00FD77C2">
            <w:pPr>
              <w:rPr>
                <w:sz w:val="22"/>
                <w:szCs w:val="22"/>
              </w:rPr>
            </w:pPr>
          </w:p>
        </w:tc>
      </w:tr>
      <w:tr w:rsidR="00C055E0" w:rsidRPr="00EC4C3D" w14:paraId="1C350A11" w14:textId="77777777" w:rsidTr="00FD77C2">
        <w:tc>
          <w:tcPr>
            <w:tcW w:w="5508" w:type="dxa"/>
            <w:shd w:val="clear" w:color="auto" w:fill="auto"/>
          </w:tcPr>
          <w:p w14:paraId="6C88CAC1" w14:textId="77777777" w:rsidR="00C055E0" w:rsidRPr="00EC4C3D" w:rsidRDefault="00C055E0" w:rsidP="00C055E0">
            <w:pPr>
              <w:numPr>
                <w:ilvl w:val="0"/>
                <w:numId w:val="47"/>
              </w:numPr>
              <w:rPr>
                <w:sz w:val="22"/>
                <w:szCs w:val="22"/>
              </w:rPr>
            </w:pPr>
            <w:r w:rsidRPr="00EC4C3D">
              <w:rPr>
                <w:bCs/>
                <w:sz w:val="22"/>
                <w:szCs w:val="22"/>
              </w:rPr>
              <w:t>On the basis of</w:t>
            </w:r>
            <w:r w:rsidRPr="00EC4C3D">
              <w:rPr>
                <w:sz w:val="22"/>
                <w:szCs w:val="22"/>
              </w:rPr>
              <w:t xml:space="preserve"> </w:t>
            </w:r>
            <w:r w:rsidRPr="00EC4C3D">
              <w:rPr>
                <w:bCs/>
                <w:sz w:val="22"/>
                <w:szCs w:val="22"/>
              </w:rPr>
              <w:t xml:space="preserve">examination </w:t>
            </w:r>
            <w:r w:rsidRPr="00EC4C3D">
              <w:rPr>
                <w:sz w:val="22"/>
                <w:szCs w:val="22"/>
              </w:rPr>
              <w:t>procedures completed, including transaction testing, form a conclusion about the adequacy of policies, procedures, and processes associated with business entity relationships.</w:t>
            </w:r>
          </w:p>
        </w:tc>
        <w:tc>
          <w:tcPr>
            <w:tcW w:w="5508" w:type="dxa"/>
            <w:shd w:val="clear" w:color="auto" w:fill="auto"/>
          </w:tcPr>
          <w:p w14:paraId="56D749BF" w14:textId="77777777" w:rsidR="00C055E0" w:rsidRPr="00EC4C3D" w:rsidRDefault="00C055E0" w:rsidP="00FD77C2">
            <w:pPr>
              <w:rPr>
                <w:sz w:val="22"/>
                <w:szCs w:val="22"/>
              </w:rPr>
            </w:pPr>
          </w:p>
        </w:tc>
      </w:tr>
    </w:tbl>
    <w:p w14:paraId="44A841C8" w14:textId="77777777" w:rsidR="00666FEA" w:rsidRPr="00C055E0" w:rsidRDefault="00666FEA" w:rsidP="00C055E0">
      <w:bookmarkStart w:id="1" w:name="_GoBack"/>
      <w:bookmarkEnd w:id="1"/>
    </w:p>
    <w:sectPr w:rsidR="00666FEA" w:rsidRPr="00C055E0" w:rsidSect="00C73169">
      <w:headerReference w:type="even" r:id="rId8"/>
      <w:headerReference w:type="default" r:id="rId9"/>
      <w:footerReference w:type="even" r:id="rId10"/>
      <w:footerReference w:type="default" r:id="rId1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p w14:paraId="41EAB179" w14:textId="77777777" w:rsidR="00000000" w:rsidRDefault="00C055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44419A" w14:textId="77777777" w:rsidR="00000000" w:rsidRDefault="00C055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p w14:paraId="480ABDD4" w14:textId="77777777" w:rsidR="00000000" w:rsidRDefault="00C05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2E4F8F4" w14:textId="77777777" w:rsidR="00000000" w:rsidRDefault="00C055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04D"/>
    <w:multiLevelType w:val="hybridMultilevel"/>
    <w:tmpl w:val="57B6393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551B0"/>
    <w:multiLevelType w:val="hybridMultilevel"/>
    <w:tmpl w:val="0A52585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77676D"/>
    <w:multiLevelType w:val="hybridMultilevel"/>
    <w:tmpl w:val="3078BA4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D0319C"/>
    <w:multiLevelType w:val="hybridMultilevel"/>
    <w:tmpl w:val="771A83D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22E18"/>
    <w:multiLevelType w:val="hybridMultilevel"/>
    <w:tmpl w:val="4FD894A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44495D"/>
    <w:multiLevelType w:val="hybridMultilevel"/>
    <w:tmpl w:val="638A164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F8B0A98"/>
    <w:multiLevelType w:val="hybridMultilevel"/>
    <w:tmpl w:val="DE5AA66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19C5300"/>
    <w:multiLevelType w:val="hybridMultilevel"/>
    <w:tmpl w:val="C3A642A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754B80"/>
    <w:multiLevelType w:val="hybridMultilevel"/>
    <w:tmpl w:val="4CD646B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9B0332"/>
    <w:multiLevelType w:val="hybridMultilevel"/>
    <w:tmpl w:val="2870D16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A805AF9"/>
    <w:multiLevelType w:val="hybridMultilevel"/>
    <w:tmpl w:val="31C82A5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3B456C"/>
    <w:multiLevelType w:val="hybridMultilevel"/>
    <w:tmpl w:val="20EEBA0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C67EF3"/>
    <w:multiLevelType w:val="hybridMultilevel"/>
    <w:tmpl w:val="09A67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D172ECF"/>
    <w:multiLevelType w:val="hybridMultilevel"/>
    <w:tmpl w:val="DE54DF1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82AF2"/>
    <w:multiLevelType w:val="hybridMultilevel"/>
    <w:tmpl w:val="98382C1C"/>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9E1B69"/>
    <w:multiLevelType w:val="hybridMultilevel"/>
    <w:tmpl w:val="3E86FFE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63201"/>
    <w:multiLevelType w:val="hybridMultilevel"/>
    <w:tmpl w:val="4018629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1978E5"/>
    <w:multiLevelType w:val="hybridMultilevel"/>
    <w:tmpl w:val="147C17E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586ED2"/>
    <w:multiLevelType w:val="hybridMultilevel"/>
    <w:tmpl w:val="D018E78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89E4379"/>
    <w:multiLevelType w:val="hybridMultilevel"/>
    <w:tmpl w:val="1E54F68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AD71251"/>
    <w:multiLevelType w:val="hybridMultilevel"/>
    <w:tmpl w:val="F302458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3374478"/>
    <w:multiLevelType w:val="hybridMultilevel"/>
    <w:tmpl w:val="CC903034"/>
    <w:lvl w:ilvl="0" w:tplc="A1389002">
      <w:start w:val="1"/>
      <w:numFmt w:val="bullet"/>
      <w:lvlText w:val=""/>
      <w:lvlJc w:val="left"/>
      <w:pPr>
        <w:tabs>
          <w:tab w:val="num" w:pos="720"/>
        </w:tabs>
        <w:ind w:left="720" w:hanging="360"/>
      </w:pPr>
      <w:rPr>
        <w:rFonts w:ascii="Symbol" w:hAnsi="Symbol" w:hint="default"/>
        <w:color w:val="auto"/>
        <w:sz w:val="22"/>
        <w:szCs w:val="22"/>
      </w:rPr>
    </w:lvl>
    <w:lvl w:ilvl="1" w:tplc="0409000F">
      <w:start w:val="1"/>
      <w:numFmt w:val="decimal"/>
      <w:lvlText w:val="%2."/>
      <w:lvlJc w:val="left"/>
      <w:pPr>
        <w:tabs>
          <w:tab w:val="num" w:pos="1440"/>
        </w:tabs>
        <w:ind w:left="1440" w:hanging="360"/>
      </w:pPr>
      <w:rPr>
        <w:rFont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2621A4"/>
    <w:multiLevelType w:val="hybridMultilevel"/>
    <w:tmpl w:val="71E4D51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D247C"/>
    <w:multiLevelType w:val="hybridMultilevel"/>
    <w:tmpl w:val="B020535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628ED"/>
    <w:multiLevelType w:val="hybridMultilevel"/>
    <w:tmpl w:val="6B0E6A6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957FE2"/>
    <w:multiLevelType w:val="hybridMultilevel"/>
    <w:tmpl w:val="2116CD5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20664C5"/>
    <w:multiLevelType w:val="hybridMultilevel"/>
    <w:tmpl w:val="FBC2EE0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6F24AD"/>
    <w:multiLevelType w:val="hybridMultilevel"/>
    <w:tmpl w:val="E982B3C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A299E"/>
    <w:multiLevelType w:val="hybridMultilevel"/>
    <w:tmpl w:val="9A46D9A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344BDB"/>
    <w:multiLevelType w:val="hybridMultilevel"/>
    <w:tmpl w:val="A8043D3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72B5C73"/>
    <w:multiLevelType w:val="hybridMultilevel"/>
    <w:tmpl w:val="FEFCD61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646F54"/>
    <w:multiLevelType w:val="hybridMultilevel"/>
    <w:tmpl w:val="9B2C4B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C3367F3"/>
    <w:multiLevelType w:val="hybridMultilevel"/>
    <w:tmpl w:val="AB7A0EC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12047AD"/>
    <w:multiLevelType w:val="hybridMultilevel"/>
    <w:tmpl w:val="C72432A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1A25237"/>
    <w:multiLevelType w:val="hybridMultilevel"/>
    <w:tmpl w:val="AF083B7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5A64E14"/>
    <w:multiLevelType w:val="hybridMultilevel"/>
    <w:tmpl w:val="365833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8C104C3"/>
    <w:multiLevelType w:val="hybridMultilevel"/>
    <w:tmpl w:val="C870035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7C0CFC"/>
    <w:multiLevelType w:val="hybridMultilevel"/>
    <w:tmpl w:val="844E368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7437AC"/>
    <w:multiLevelType w:val="hybridMultilevel"/>
    <w:tmpl w:val="DD081FA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CE3742"/>
    <w:multiLevelType w:val="hybridMultilevel"/>
    <w:tmpl w:val="326E0638"/>
    <w:lvl w:ilvl="0" w:tplc="04090005">
      <w:start w:val="1"/>
      <w:numFmt w:val="bullet"/>
      <w:lvlText w:val=""/>
      <w:lvlJc w:val="left"/>
      <w:pPr>
        <w:tabs>
          <w:tab w:val="num" w:pos="1080"/>
        </w:tabs>
        <w:ind w:left="1080" w:hanging="360"/>
      </w:pPr>
      <w:rPr>
        <w:rFonts w:ascii="Wingdings" w:hAnsi="Wingdings" w:hint="default"/>
        <w:sz w:val="22"/>
        <w:szCs w:val="22"/>
      </w:rPr>
    </w:lvl>
    <w:lvl w:ilvl="1" w:tplc="04090005">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0E972FD"/>
    <w:multiLevelType w:val="hybridMultilevel"/>
    <w:tmpl w:val="1DF82A5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1F4926"/>
    <w:multiLevelType w:val="hybridMultilevel"/>
    <w:tmpl w:val="828A5D36"/>
    <w:lvl w:ilvl="0" w:tplc="36E2E53C">
      <w:start w:val="1"/>
      <w:numFmt w:val="bullet"/>
      <w:pStyle w:val="Bulletinfootnote-1stleve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7A4ADB"/>
    <w:multiLevelType w:val="hybridMultilevel"/>
    <w:tmpl w:val="7D48C9E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7B5F4C"/>
    <w:multiLevelType w:val="hybridMultilevel"/>
    <w:tmpl w:val="C5E21E4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F471338"/>
    <w:multiLevelType w:val="hybridMultilevel"/>
    <w:tmpl w:val="EDA43C48"/>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6"/>
  </w:num>
  <w:num w:numId="3">
    <w:abstractNumId w:val="37"/>
  </w:num>
  <w:num w:numId="4">
    <w:abstractNumId w:val="20"/>
  </w:num>
  <w:num w:numId="5">
    <w:abstractNumId w:val="8"/>
  </w:num>
  <w:num w:numId="6">
    <w:abstractNumId w:val="29"/>
  </w:num>
  <w:num w:numId="7">
    <w:abstractNumId w:val="9"/>
  </w:num>
  <w:num w:numId="8">
    <w:abstractNumId w:val="7"/>
  </w:num>
  <w:num w:numId="9">
    <w:abstractNumId w:val="47"/>
  </w:num>
  <w:num w:numId="10">
    <w:abstractNumId w:val="0"/>
  </w:num>
  <w:num w:numId="11">
    <w:abstractNumId w:val="11"/>
  </w:num>
  <w:num w:numId="12">
    <w:abstractNumId w:val="13"/>
  </w:num>
  <w:num w:numId="13">
    <w:abstractNumId w:val="6"/>
  </w:num>
  <w:num w:numId="14">
    <w:abstractNumId w:val="10"/>
  </w:num>
  <w:num w:numId="15">
    <w:abstractNumId w:val="31"/>
  </w:num>
  <w:num w:numId="16">
    <w:abstractNumId w:val="42"/>
  </w:num>
  <w:num w:numId="17">
    <w:abstractNumId w:val="34"/>
  </w:num>
  <w:num w:numId="18">
    <w:abstractNumId w:val="17"/>
  </w:num>
  <w:num w:numId="19">
    <w:abstractNumId w:val="15"/>
  </w:num>
  <w:num w:numId="20">
    <w:abstractNumId w:val="27"/>
  </w:num>
  <w:num w:numId="21">
    <w:abstractNumId w:val="24"/>
  </w:num>
  <w:num w:numId="22">
    <w:abstractNumId w:val="43"/>
  </w:num>
  <w:num w:numId="23">
    <w:abstractNumId w:val="25"/>
  </w:num>
  <w:num w:numId="24">
    <w:abstractNumId w:val="38"/>
  </w:num>
  <w:num w:numId="25">
    <w:abstractNumId w:val="2"/>
  </w:num>
  <w:num w:numId="26">
    <w:abstractNumId w:val="21"/>
  </w:num>
  <w:num w:numId="27">
    <w:abstractNumId w:val="18"/>
  </w:num>
  <w:num w:numId="28">
    <w:abstractNumId w:val="32"/>
  </w:num>
  <w:num w:numId="29">
    <w:abstractNumId w:val="33"/>
  </w:num>
  <w:num w:numId="30">
    <w:abstractNumId w:val="1"/>
  </w:num>
  <w:num w:numId="31">
    <w:abstractNumId w:val="22"/>
  </w:num>
  <w:num w:numId="32">
    <w:abstractNumId w:val="19"/>
  </w:num>
  <w:num w:numId="33">
    <w:abstractNumId w:val="14"/>
  </w:num>
  <w:num w:numId="34">
    <w:abstractNumId w:val="3"/>
  </w:num>
  <w:num w:numId="35">
    <w:abstractNumId w:val="44"/>
  </w:num>
  <w:num w:numId="36">
    <w:abstractNumId w:val="41"/>
  </w:num>
  <w:num w:numId="37">
    <w:abstractNumId w:val="12"/>
  </w:num>
  <w:num w:numId="38">
    <w:abstractNumId w:val="46"/>
  </w:num>
  <w:num w:numId="39">
    <w:abstractNumId w:val="30"/>
  </w:num>
  <w:num w:numId="40">
    <w:abstractNumId w:val="35"/>
  </w:num>
  <w:num w:numId="41">
    <w:abstractNumId w:val="39"/>
  </w:num>
  <w:num w:numId="42">
    <w:abstractNumId w:val="45"/>
  </w:num>
  <w:num w:numId="43">
    <w:abstractNumId w:val="4"/>
  </w:num>
  <w:num w:numId="44">
    <w:abstractNumId w:val="36"/>
  </w:num>
  <w:num w:numId="45">
    <w:abstractNumId w:val="28"/>
  </w:num>
  <w:num w:numId="46">
    <w:abstractNumId w:val="40"/>
  </w:num>
  <w:num w:numId="47">
    <w:abstractNumId w:val="5"/>
  </w:num>
  <w:num w:numId="4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65C4D"/>
    <w:rsid w:val="00077484"/>
    <w:rsid w:val="000B6182"/>
    <w:rsid w:val="00131D24"/>
    <w:rsid w:val="00131ED5"/>
    <w:rsid w:val="00153D87"/>
    <w:rsid w:val="001C597F"/>
    <w:rsid w:val="00214C57"/>
    <w:rsid w:val="002456DC"/>
    <w:rsid w:val="002A317A"/>
    <w:rsid w:val="002A4CE7"/>
    <w:rsid w:val="002C7896"/>
    <w:rsid w:val="002F497B"/>
    <w:rsid w:val="003017B2"/>
    <w:rsid w:val="00381955"/>
    <w:rsid w:val="003C78D0"/>
    <w:rsid w:val="003E02C1"/>
    <w:rsid w:val="004076B6"/>
    <w:rsid w:val="004241FF"/>
    <w:rsid w:val="00437489"/>
    <w:rsid w:val="0049515A"/>
    <w:rsid w:val="004B1A48"/>
    <w:rsid w:val="0052031B"/>
    <w:rsid w:val="0053220B"/>
    <w:rsid w:val="00545344"/>
    <w:rsid w:val="00551E98"/>
    <w:rsid w:val="0055792B"/>
    <w:rsid w:val="0059687F"/>
    <w:rsid w:val="005A483D"/>
    <w:rsid w:val="005C0EA2"/>
    <w:rsid w:val="005F5D49"/>
    <w:rsid w:val="00644539"/>
    <w:rsid w:val="0066634D"/>
    <w:rsid w:val="00666FEA"/>
    <w:rsid w:val="00667D9C"/>
    <w:rsid w:val="00693331"/>
    <w:rsid w:val="006938EE"/>
    <w:rsid w:val="00695FE5"/>
    <w:rsid w:val="00703B5F"/>
    <w:rsid w:val="00711436"/>
    <w:rsid w:val="0074091F"/>
    <w:rsid w:val="007C1396"/>
    <w:rsid w:val="007D2166"/>
    <w:rsid w:val="008218DF"/>
    <w:rsid w:val="0082386F"/>
    <w:rsid w:val="00827065"/>
    <w:rsid w:val="00833BB0"/>
    <w:rsid w:val="00853CA3"/>
    <w:rsid w:val="008C1A62"/>
    <w:rsid w:val="008D1B70"/>
    <w:rsid w:val="0092155F"/>
    <w:rsid w:val="00942A1C"/>
    <w:rsid w:val="009A7808"/>
    <w:rsid w:val="009E57B6"/>
    <w:rsid w:val="00A13081"/>
    <w:rsid w:val="00A33330"/>
    <w:rsid w:val="00A37C93"/>
    <w:rsid w:val="00A65C35"/>
    <w:rsid w:val="00A9534A"/>
    <w:rsid w:val="00AB7A7D"/>
    <w:rsid w:val="00AC3068"/>
    <w:rsid w:val="00AF2A9F"/>
    <w:rsid w:val="00B0373F"/>
    <w:rsid w:val="00B57732"/>
    <w:rsid w:val="00B73521"/>
    <w:rsid w:val="00BD1029"/>
    <w:rsid w:val="00BD16CB"/>
    <w:rsid w:val="00C055E0"/>
    <w:rsid w:val="00C31FD1"/>
    <w:rsid w:val="00C40DD6"/>
    <w:rsid w:val="00C71445"/>
    <w:rsid w:val="00C73169"/>
    <w:rsid w:val="00C7598C"/>
    <w:rsid w:val="00CC10D0"/>
    <w:rsid w:val="00CE1F59"/>
    <w:rsid w:val="00CF0853"/>
    <w:rsid w:val="00CF7AF0"/>
    <w:rsid w:val="00D77CBB"/>
    <w:rsid w:val="00D8007E"/>
    <w:rsid w:val="00D95CB7"/>
    <w:rsid w:val="00DA7E7B"/>
    <w:rsid w:val="00DB59F9"/>
    <w:rsid w:val="00EC37F2"/>
    <w:rsid w:val="00F338D1"/>
    <w:rsid w:val="00F410AB"/>
    <w:rsid w:val="00F8060D"/>
    <w:rsid w:val="00F8164C"/>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7C13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218DF"/>
  </w:style>
  <w:style w:type="character" w:customStyle="1" w:styleId="FootnoteTextChar">
    <w:name w:val="Footnote Text Char"/>
    <w:basedOn w:val="DefaultParagraphFont"/>
    <w:link w:val="FootnoteText"/>
    <w:uiPriority w:val="99"/>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paragraph" w:customStyle="1" w:styleId="Bullet-3rdlevelBSA-AML">
    <w:name w:val="Bullet-3rd level BSA-AML"/>
    <w:basedOn w:val="BulletlistBSA-AML"/>
    <w:next w:val="Body-BSA-AML"/>
    <w:rsid w:val="009A7808"/>
    <w:pPr>
      <w:widowControl w:val="0"/>
      <w:numPr>
        <w:ilvl w:val="1"/>
        <w:numId w:val="3"/>
      </w:numPr>
      <w:tabs>
        <w:tab w:val="clear" w:pos="1080"/>
      </w:tabs>
      <w:autoSpaceDE w:val="0"/>
      <w:autoSpaceDN w:val="0"/>
      <w:adjustRightInd w:val="0"/>
    </w:pPr>
    <w:rPr>
      <w:szCs w:val="24"/>
    </w:rPr>
  </w:style>
  <w:style w:type="paragraph" w:customStyle="1" w:styleId="Head7-BSA-AML">
    <w:name w:val="Head 7-BSA-AML"/>
    <w:basedOn w:val="Heading7"/>
    <w:next w:val="Body-BSA-AML"/>
    <w:link w:val="Head7-BSA-AMLChar"/>
    <w:rsid w:val="007C1396"/>
    <w:pPr>
      <w:keepNext w:val="0"/>
      <w:keepLines w:val="0"/>
      <w:spacing w:before="0"/>
    </w:pPr>
    <w:rPr>
      <w:rFonts w:ascii="Times New Roman" w:eastAsia="Times New Roman" w:hAnsi="Times New Roman" w:cs="Times New Roman"/>
      <w:b/>
      <w:i w:val="0"/>
      <w:iCs w:val="0"/>
      <w:color w:val="auto"/>
      <w:sz w:val="24"/>
      <w:szCs w:val="24"/>
    </w:rPr>
  </w:style>
  <w:style w:type="character" w:customStyle="1" w:styleId="Head7-BSA-AMLChar">
    <w:name w:val="Head 7-BSA-AML Char"/>
    <w:basedOn w:val="DefaultParagraphFont"/>
    <w:link w:val="Head7-BSA-AML"/>
    <w:rsid w:val="007C1396"/>
    <w:rPr>
      <w:rFonts w:ascii="Times New Roman" w:eastAsia="Times New Roman" w:hAnsi="Times New Roman" w:cs="Times New Roman"/>
      <w:b/>
    </w:rPr>
  </w:style>
  <w:style w:type="character" w:customStyle="1" w:styleId="Heading7Char">
    <w:name w:val="Heading 7 Char"/>
    <w:basedOn w:val="DefaultParagraphFont"/>
    <w:link w:val="Heading7"/>
    <w:uiPriority w:val="9"/>
    <w:semiHidden/>
    <w:rsid w:val="007C1396"/>
    <w:rPr>
      <w:rFonts w:asciiTheme="majorHAnsi" w:eastAsiaTheme="majorEastAsia" w:hAnsiTheme="majorHAnsi" w:cstheme="majorBidi"/>
      <w:i/>
      <w:iCs/>
      <w:color w:val="1F3763" w:themeColor="accent1" w:themeShade="7F"/>
      <w:sz w:val="20"/>
      <w:szCs w:val="20"/>
    </w:rPr>
  </w:style>
  <w:style w:type="character" w:styleId="Hyperlink">
    <w:name w:val="Hyperlink"/>
    <w:basedOn w:val="DefaultParagraphFont"/>
    <w:rsid w:val="00F8164C"/>
    <w:rPr>
      <w:color w:val="0000FF"/>
      <w:u w:val="single"/>
    </w:rPr>
  </w:style>
  <w:style w:type="paragraph" w:customStyle="1" w:styleId="Bulletinfootnote-1stlevel">
    <w:name w:val="Bullet in footnote-1st level"/>
    <w:basedOn w:val="BulletlistBSA-AML"/>
    <w:next w:val="Bodyfootnote-BSA-AML"/>
    <w:rsid w:val="00AF2A9F"/>
    <w:pPr>
      <w:numPr>
        <w:numId w:val="35"/>
      </w:numPr>
      <w:spacing w:after="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08A7-15BD-7B4A-A7A7-182E683B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Company>CPS</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2018-06-06T15:29:00Z</dcterms:created>
  <dcterms:modified xsi:type="dcterms:W3CDTF">2018-06-06T15:29:00Z</dcterms:modified>
</cp:coreProperties>
</file>